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2"/>
        <w:rPr>
          <w:rFonts w:hint="eastAsia"/>
          <w:lang w:val="en-US" w:eastAsia="zh-CN"/>
        </w:rPr>
      </w:pPr>
      <w:bookmarkStart w:id="0" w:name="BookMark2"/>
      <w:r>
        <mc:AlternateContent>
          <mc:Choice Requires="wps">
            <w:drawing>
              <wp:anchor distT="0" distB="0" distL="114300" distR="114300" simplePos="0" relativeHeight="251660288" behindDoc="0" locked="1" layoutInCell="1" allowOverlap="1">
                <wp:simplePos x="0" y="0"/>
                <wp:positionH relativeFrom="margin">
                  <wp:posOffset>-242570</wp:posOffset>
                </wp:positionH>
                <wp:positionV relativeFrom="margin">
                  <wp:posOffset>-554355</wp:posOffset>
                </wp:positionV>
                <wp:extent cx="2540000" cy="657860"/>
                <wp:effectExtent l="0" t="0" r="0" b="254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CA4F2FF">
                            <w:pPr>
                              <w:pStyle w:val="10"/>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322D5BB6">
                            <w:pPr>
                              <w:pStyle w:val="10"/>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1D2B8DD2"/>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0288;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2CA4F2FF">
                      <w:pPr>
                        <w:pStyle w:val="10"/>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322D5BB6">
                      <w:pPr>
                        <w:pStyle w:val="10"/>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1D2B8DD2"/>
                  </w:txbxContent>
                </v:textbox>
                <w10:anchorlock/>
              </v:shape>
            </w:pict>
          </mc:Fallback>
        </mc:AlternateContent>
      </w:r>
    </w:p>
    <w:p w14:paraId="268B548C">
      <w:pPr>
        <w:spacing w:line="240" w:lineRule="auto"/>
        <w:jc w:val="center"/>
        <w:rPr>
          <w:rFonts w:hint="eastAsia" w:ascii="宋体" w:hAnsi="宋体" w:eastAsia="宋体" w:cs="宋体"/>
          <w:b/>
          <w:sz w:val="52"/>
        </w:rPr>
      </w:pPr>
      <w:r>
        <mc:AlternateContent>
          <mc:Choice Requires="wps">
            <w:drawing>
              <wp:anchor distT="0" distB="0" distL="114300" distR="114300" simplePos="0" relativeHeight="251662336" behindDoc="0" locked="1" layoutInCell="0" allowOverlap="1">
                <wp:simplePos x="0" y="0"/>
                <wp:positionH relativeFrom="margin">
                  <wp:posOffset>-143510</wp:posOffset>
                </wp:positionH>
                <wp:positionV relativeFrom="margin">
                  <wp:posOffset>791210</wp:posOffset>
                </wp:positionV>
                <wp:extent cx="5802630" cy="577850"/>
                <wp:effectExtent l="0" t="0" r="1270" b="635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noFill/>
                        <a:ln>
                          <a:noFill/>
                        </a:ln>
                      </wps:spPr>
                      <wps:txbx>
                        <w:txbxContent>
                          <w:p w14:paraId="0F1ED9CC">
                            <w:pPr>
                              <w:pStyle w:val="12"/>
                              <w:rPr>
                                <w:rFonts w:ascii="黑体" w:hAnsi="黑体" w:eastAsia="黑体" w:cs="黑体"/>
                              </w:rPr>
                            </w:pPr>
                            <w:r>
                              <w:rPr>
                                <w:rFonts w:hint="eastAsia" w:ascii="黑体" w:hAnsi="黑体" w:eastAsia="黑体" w:cs="黑体"/>
                              </w:rPr>
                              <w:t>T/CAFFCI  XXXX—202X</w:t>
                            </w:r>
                          </w:p>
                          <w:p w14:paraId="5B42868F">
                            <w:pPr>
                              <w:pStyle w:val="12"/>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2336;mso-width-relative:page;mso-height-relative:page;" filled="f" stroked="f" coordsize="21600,21600" o:allowincell="f" o:gfxdata="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hC1I2QAAAAsBAAAPAAAAAAAAAAEAIAAAACIAAABkcnMvZG93bnJldi54bWxQSwECFAAUAAAA&#10;CACHTuJAfaoUirQBAAB9AwAADgAAAAAAAAABACAAAAAoAQAAZHJzL2Uyb0RvYy54bWxQSwUGAAAA&#10;AAYABgBZAQAATgUAAAAA&#10;">
                <v:fill on="f" focussize="0,0"/>
                <v:stroke on="f"/>
                <v:imagedata o:title=""/>
                <o:lock v:ext="edit" aspectratio="f"/>
                <v:textbox inset="0mm,0mm,0mm,0mm">
                  <w:txbxContent>
                    <w:p w14:paraId="0F1ED9CC">
                      <w:pPr>
                        <w:pStyle w:val="12"/>
                        <w:rPr>
                          <w:rFonts w:ascii="黑体" w:hAnsi="黑体" w:eastAsia="黑体" w:cs="黑体"/>
                        </w:rPr>
                      </w:pPr>
                      <w:r>
                        <w:rPr>
                          <w:rFonts w:hint="eastAsia" w:ascii="黑体" w:hAnsi="黑体" w:eastAsia="黑体" w:cs="黑体"/>
                        </w:rPr>
                        <w:t>T/CAFFCI  XXXX—202X</w:t>
                      </w:r>
                    </w:p>
                    <w:p w14:paraId="5B42868F">
                      <w:pPr>
                        <w:pStyle w:val="12"/>
                        <w:rPr>
                          <w:rFonts w:ascii="黑体" w:eastAsia="黑体"/>
                          <w:b/>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-27305</wp:posOffset>
                </wp:positionH>
                <wp:positionV relativeFrom="margin">
                  <wp:posOffset>456565</wp:posOffset>
                </wp:positionV>
                <wp:extent cx="5569585" cy="772160"/>
                <wp:effectExtent l="0" t="0" r="5715" b="254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noFill/>
                        <a:ln>
                          <a:noFill/>
                        </a:ln>
                      </wps:spPr>
                      <wps:txbx>
                        <w:txbxContent>
                          <w:p w14:paraId="021CC32A">
                            <w:pPr>
                              <w:pStyle w:val="11"/>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1312;mso-width-relative:page;mso-height-relative:page;" filled="f" stroked="f" coordsize="21600,21600" o:gfxdata="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4Ft+L2QAAAAkBAAAPAAAAAAAAAAEAIAAAACIAAABkcnMvZG93bnJldi54bWxQSwECFAAUAAAA&#10;CACHTuJApPhHKLQBAAB9AwAADgAAAAAAAAABACAAAAAoAQAAZHJzL2Uyb0RvYy54bWxQSwUGAAAA&#10;AAYABgBZAQAATgUAAAAA&#10;">
                <v:fill on="f" focussize="0,0"/>
                <v:stroke on="f"/>
                <v:imagedata o:title=""/>
                <o:lock v:ext="edit" aspectratio="f"/>
                <v:textbox inset="0mm,0mm,0mm,0mm">
                  <w:txbxContent>
                    <w:p w14:paraId="021CC32A">
                      <w:pPr>
                        <w:pStyle w:val="11"/>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宋体" w:hAnsi="宋体" w:eastAsia="宋体" w:cs="宋体"/>
          <w:b/>
          <w:sz w:val="52"/>
        </w:rPr>
      </w:pPr>
    </w:p>
    <w:p w14:paraId="57F9D506">
      <w:pPr>
        <w:spacing w:line="240" w:lineRule="auto"/>
        <w:jc w:val="center"/>
        <w:rPr>
          <w:rFonts w:hint="eastAsia" w:ascii="宋体" w:hAnsi="宋体" w:eastAsia="宋体" w:cs="宋体"/>
          <w:b/>
          <w:sz w:val="52"/>
        </w:rPr>
      </w:pPr>
      <w:r>
        <w:rPr>
          <w:rFonts w:hint="eastAsia" w:ascii="黑体" w:hAnsi="黑体" w:eastAsia="黑体" w:cs="黑体"/>
          <w:sz w:val="28"/>
        </w:rPr>
        <mc:AlternateContent>
          <mc:Choice Requires="wps">
            <w:drawing>
              <wp:anchor distT="0" distB="0" distL="114300" distR="114300" simplePos="0" relativeHeight="251663360"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3360;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-242570</wp:posOffset>
                </wp:positionH>
                <wp:positionV relativeFrom="margin">
                  <wp:posOffset>2808605</wp:posOffset>
                </wp:positionV>
                <wp:extent cx="5969000" cy="3601720"/>
                <wp:effectExtent l="0" t="0" r="0" b="50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2B425040">
                            <w:pPr>
                              <w:jc w:val="center"/>
                              <w:rPr>
                                <w:rFonts w:hint="default" w:ascii="黑体" w:eastAsia="黑体"/>
                                <w:bCs/>
                                <w:sz w:val="52"/>
                                <w:szCs w:val="28"/>
                                <w:lang w:val="en-US" w:eastAsia="zh-CN"/>
                              </w:rPr>
                            </w:pPr>
                            <w:r>
                              <w:rPr>
                                <w:rFonts w:hint="eastAsia" w:ascii="黑体" w:eastAsia="黑体"/>
                                <w:bCs/>
                                <w:sz w:val="52"/>
                                <w:szCs w:val="28"/>
                              </w:rPr>
                              <w:t xml:space="preserve">化妆品用原料 </w:t>
                            </w:r>
                            <w:r>
                              <w:rPr>
                                <w:rFonts w:hint="eastAsia" w:ascii="黑体" w:eastAsia="黑体"/>
                                <w:bCs/>
                                <w:sz w:val="52"/>
                                <w:szCs w:val="28"/>
                                <w:lang w:val="en-US" w:eastAsia="zh-CN"/>
                              </w:rPr>
                              <w:t>黑参提取物</w:t>
                            </w:r>
                          </w:p>
                          <w:p w14:paraId="1A3E26B7">
                            <w:pPr>
                              <w:pStyle w:val="4"/>
                              <w:jc w:val="center"/>
                              <w:rPr>
                                <w:rFonts w:hint="default" w:eastAsia="黑体" w:asciiTheme="minorEastAsia" w:hAnsiTheme="minorEastAsia"/>
                                <w:sz w:val="28"/>
                                <w:lang w:val="en-US" w:eastAsia="zh-CN"/>
                              </w:rPr>
                            </w:pPr>
                            <w:r>
                              <w:rPr>
                                <w:rFonts w:hint="eastAsia" w:ascii="黑体" w:hAnsi="黑体" w:eastAsia="黑体" w:cs="黑体"/>
                                <w:sz w:val="28"/>
                              </w:rPr>
                              <w:t>Cosmetic ingredients-Black ginseng extract</w:t>
                            </w:r>
                          </w:p>
                          <w:p w14:paraId="5E9FE70A">
                            <w:pPr>
                              <w:pStyle w:val="13"/>
                              <w:rPr>
                                <w:sz w:val="24"/>
                                <w:szCs w:val="24"/>
                              </w:rPr>
                            </w:pPr>
                            <w:r>
                              <w:rPr>
                                <w:rFonts w:hint="eastAsia"/>
                                <w:sz w:val="24"/>
                                <w:szCs w:val="24"/>
                              </w:rPr>
                              <w:t>（征求意见稿）</w:t>
                            </w:r>
                          </w:p>
                          <w:p w14:paraId="0ECB0B4D">
                            <w:pPr>
                              <w:pStyle w:val="13"/>
                              <w:rPr>
                                <w:sz w:val="24"/>
                                <w:szCs w:val="24"/>
                              </w:rPr>
                            </w:pPr>
                          </w:p>
                          <w:p w14:paraId="12838676">
                            <w:pPr>
                              <w:pStyle w:val="13"/>
                              <w:rPr>
                                <w:sz w:val="24"/>
                                <w:szCs w:val="24"/>
                              </w:rPr>
                            </w:pPr>
                          </w:p>
                          <w:p w14:paraId="334ACD99">
                            <w:pPr>
                              <w:pStyle w:val="13"/>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4384;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2B425040">
                      <w:pPr>
                        <w:jc w:val="center"/>
                        <w:rPr>
                          <w:rFonts w:hint="default" w:ascii="黑体" w:eastAsia="黑体"/>
                          <w:bCs/>
                          <w:sz w:val="52"/>
                          <w:szCs w:val="28"/>
                          <w:lang w:val="en-US" w:eastAsia="zh-CN"/>
                        </w:rPr>
                      </w:pPr>
                      <w:r>
                        <w:rPr>
                          <w:rFonts w:hint="eastAsia" w:ascii="黑体" w:eastAsia="黑体"/>
                          <w:bCs/>
                          <w:sz w:val="52"/>
                          <w:szCs w:val="28"/>
                        </w:rPr>
                        <w:t xml:space="preserve">化妆品用原料 </w:t>
                      </w:r>
                      <w:r>
                        <w:rPr>
                          <w:rFonts w:hint="eastAsia" w:ascii="黑体" w:eastAsia="黑体"/>
                          <w:bCs/>
                          <w:sz w:val="52"/>
                          <w:szCs w:val="28"/>
                          <w:lang w:val="en-US" w:eastAsia="zh-CN"/>
                        </w:rPr>
                        <w:t>黑参提取物</w:t>
                      </w:r>
                    </w:p>
                    <w:p w14:paraId="1A3E26B7">
                      <w:pPr>
                        <w:pStyle w:val="4"/>
                        <w:jc w:val="center"/>
                        <w:rPr>
                          <w:rFonts w:hint="default" w:eastAsia="黑体" w:asciiTheme="minorEastAsia" w:hAnsiTheme="minorEastAsia"/>
                          <w:sz w:val="28"/>
                          <w:lang w:val="en-US" w:eastAsia="zh-CN"/>
                        </w:rPr>
                      </w:pPr>
                      <w:r>
                        <w:rPr>
                          <w:rFonts w:hint="eastAsia" w:ascii="黑体" w:hAnsi="黑体" w:eastAsia="黑体" w:cs="黑体"/>
                          <w:sz w:val="28"/>
                        </w:rPr>
                        <w:t>Cosmetic ingredients-Black ginseng extract</w:t>
                      </w:r>
                    </w:p>
                    <w:p w14:paraId="5E9FE70A">
                      <w:pPr>
                        <w:pStyle w:val="13"/>
                        <w:rPr>
                          <w:sz w:val="24"/>
                          <w:szCs w:val="24"/>
                        </w:rPr>
                      </w:pPr>
                      <w:r>
                        <w:rPr>
                          <w:rFonts w:hint="eastAsia"/>
                          <w:sz w:val="24"/>
                          <w:szCs w:val="24"/>
                        </w:rPr>
                        <w:t>（征求意见稿）</w:t>
                      </w:r>
                    </w:p>
                    <w:p w14:paraId="0ECB0B4D">
                      <w:pPr>
                        <w:pStyle w:val="13"/>
                        <w:rPr>
                          <w:sz w:val="24"/>
                          <w:szCs w:val="24"/>
                        </w:rPr>
                      </w:pPr>
                    </w:p>
                    <w:p w14:paraId="12838676">
                      <w:pPr>
                        <w:pStyle w:val="13"/>
                        <w:rPr>
                          <w:sz w:val="24"/>
                          <w:szCs w:val="24"/>
                        </w:rPr>
                      </w:pPr>
                    </w:p>
                    <w:p w14:paraId="334ACD99">
                      <w:pPr>
                        <w:pStyle w:val="13"/>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宋体" w:hAnsi="宋体" w:eastAsia="宋体" w:cs="宋体"/>
          <w:b/>
          <w:sz w:val="32"/>
        </w:rPr>
      </w:pPr>
    </w:p>
    <w:p w14:paraId="4878669C">
      <w:pPr>
        <w:spacing w:before="320" w:after="120" w:line="288" w:lineRule="auto"/>
        <w:jc w:val="left"/>
        <w:outlineLvl w:val="1"/>
        <w:rPr>
          <w:rFonts w:hint="eastAsia" w:ascii="宋体" w:hAnsi="宋体" w:eastAsia="宋体" w:cs="宋体"/>
          <w:b/>
          <w:sz w:val="32"/>
        </w:rPr>
      </w:pPr>
    </w:p>
    <w:p w14:paraId="5399FC22">
      <w:pPr>
        <w:spacing w:before="320" w:after="120" w:line="288" w:lineRule="auto"/>
        <w:jc w:val="left"/>
        <w:outlineLvl w:val="1"/>
        <w:rPr>
          <w:rFonts w:hint="eastAsia" w:ascii="宋体" w:hAnsi="宋体" w:eastAsia="宋体" w:cs="宋体"/>
          <w:b/>
          <w:sz w:val="32"/>
        </w:rPr>
      </w:pPr>
    </w:p>
    <w:p w14:paraId="4E4ED50D">
      <w:pPr>
        <w:spacing w:before="320" w:after="120" w:line="288" w:lineRule="auto"/>
        <w:jc w:val="left"/>
        <w:outlineLvl w:val="1"/>
        <w:rPr>
          <w:rFonts w:hint="eastAsia" w:ascii="宋体" w:hAnsi="宋体" w:eastAsia="宋体" w:cs="宋体"/>
          <w:b/>
          <w:sz w:val="32"/>
        </w:rPr>
      </w:pPr>
    </w:p>
    <w:p w14:paraId="539A7BE7">
      <w:pPr>
        <w:spacing w:before="320" w:after="120" w:line="288" w:lineRule="auto"/>
        <w:jc w:val="left"/>
        <w:outlineLvl w:val="1"/>
        <w:rPr>
          <w:rFonts w:hint="eastAsia" w:ascii="宋体" w:hAnsi="宋体" w:eastAsia="宋体" w:cs="宋体"/>
          <w:b/>
          <w:sz w:val="32"/>
        </w:rPr>
      </w:pPr>
    </w:p>
    <w:p w14:paraId="74B7BB0B">
      <w:pPr>
        <w:spacing w:before="320" w:after="120" w:line="288" w:lineRule="auto"/>
        <w:jc w:val="left"/>
        <w:outlineLvl w:val="1"/>
        <w:rPr>
          <w:rFonts w:hint="eastAsia" w:ascii="宋体" w:hAnsi="宋体" w:eastAsia="宋体" w:cs="宋体"/>
          <w:b/>
          <w:sz w:val="32"/>
        </w:rPr>
      </w:pPr>
    </w:p>
    <w:p w14:paraId="2E510C15">
      <w:pPr>
        <w:spacing w:before="320" w:after="120" w:line="288" w:lineRule="auto"/>
        <w:jc w:val="left"/>
        <w:outlineLvl w:val="1"/>
        <w:rPr>
          <w:rFonts w:hint="eastAsia" w:ascii="宋体" w:hAnsi="宋体" w:eastAsia="宋体" w:cs="宋体"/>
          <w:b/>
          <w:sz w:val="32"/>
        </w:rPr>
      </w:pPr>
    </w:p>
    <w:p w14:paraId="309ED075">
      <w:pPr>
        <w:spacing w:before="320" w:after="120" w:line="288" w:lineRule="auto"/>
        <w:jc w:val="left"/>
        <w:outlineLvl w:val="1"/>
        <w:rPr>
          <w:rFonts w:hint="eastAsia" w:ascii="宋体" w:hAnsi="宋体" w:eastAsia="宋体" w:cs="宋体"/>
          <w:b/>
          <w:sz w:val="32"/>
        </w:rPr>
      </w:pPr>
    </w:p>
    <w:p w14:paraId="21B51796">
      <w:pPr>
        <w:spacing w:before="320" w:after="120" w:line="288" w:lineRule="auto"/>
        <w:jc w:val="left"/>
        <w:outlineLvl w:val="1"/>
        <w:rPr>
          <w:rFonts w:hint="eastAsia" w:ascii="宋体" w:hAnsi="宋体" w:eastAsia="宋体" w:cs="宋体"/>
          <w:b/>
          <w:sz w:val="32"/>
        </w:rPr>
      </w:pPr>
    </w:p>
    <w:p w14:paraId="1EB0C5FB">
      <w:pPr>
        <w:spacing w:before="320" w:after="120" w:line="288" w:lineRule="auto"/>
        <w:jc w:val="left"/>
        <w:outlineLvl w:val="1"/>
        <w:rPr>
          <w:rFonts w:hint="eastAsia" w:ascii="宋体" w:hAnsi="宋体" w:eastAsia="宋体" w:cs="宋体"/>
          <w:b/>
          <w:sz w:val="32"/>
        </w:rPr>
      </w:pPr>
    </w:p>
    <w:p w14:paraId="18C00F77">
      <w:pPr>
        <w:spacing w:before="320" w:after="120" w:line="288" w:lineRule="auto"/>
        <w:jc w:val="left"/>
        <w:outlineLvl w:val="1"/>
        <w:rPr>
          <w:rFonts w:hint="eastAsia" w:ascii="宋体" w:hAnsi="宋体" w:eastAsia="宋体" w:cs="宋体"/>
          <w:b/>
          <w:sz w:val="52"/>
        </w:rPr>
      </w:pPr>
      <w:r>
        <mc:AlternateContent>
          <mc:Choice Requires="wps">
            <w:drawing>
              <wp:anchor distT="0" distB="0" distL="114300" distR="114300" simplePos="0" relativeHeight="251669504" behindDoc="0" locked="0" layoutInCell="1" allowOverlap="1">
                <wp:simplePos x="0" y="0"/>
                <wp:positionH relativeFrom="column">
                  <wp:posOffset>4250055</wp:posOffset>
                </wp:positionH>
                <wp:positionV relativeFrom="paragraph">
                  <wp:posOffset>66675</wp:posOffset>
                </wp:positionV>
                <wp:extent cx="666750" cy="396240"/>
                <wp:effectExtent l="0" t="0" r="0" b="0"/>
                <wp:wrapNone/>
                <wp:docPr id="15"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3FF14A31">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4.65pt;margin-top:5.25pt;height:31.2pt;width:52.5pt;z-index:251669504;mso-width-relative:page;mso-height-relative:page;" filled="f" stroked="f" coordsize="21600,21600" o:gfxdata="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rcbnXAAAACQEAAA8AAAAAAAAAAQAgAAAAIgAAAGRycy9kb3ducmV2LnhtbFBLAQIUABQA&#10;AAAIAIdO4kCEIDhBuAEAAF0DAAAOAAAAAAAAAAEAIAAAACYBAABkcnMvZTJvRG9jLnhtbFBLBQYA&#10;AAAABgAGAFkBAABQBQAAAAA=&#10;">
                <v:fill on="f" focussize="0,0"/>
                <v:stroke on="f"/>
                <v:imagedata o:title=""/>
                <o:lock v:ext="edit" aspectratio="f"/>
                <v:textbox>
                  <w:txbxContent>
                    <w:p w14:paraId="3FF14A31">
                      <w:pPr>
                        <w:rPr>
                          <w:rFonts w:ascii="黑体" w:eastAsia="黑体"/>
                          <w:sz w:val="30"/>
                          <w:szCs w:val="30"/>
                        </w:rPr>
                      </w:pPr>
                      <w:r>
                        <w:rPr>
                          <w:rFonts w:hint="eastAsia" w:ascii="黑体" w:eastAsia="黑体"/>
                          <w:sz w:val="30"/>
                          <w:szCs w:val="30"/>
                        </w:rPr>
                        <w:t>发布</w:t>
                      </w:r>
                    </w:p>
                  </w:txbxContent>
                </v:textbox>
              </v:shape>
            </w:pict>
          </mc:Fallback>
        </mc:AlternateContent>
      </w:r>
      <w:r>
        <mc:AlternateContent>
          <mc:Choice Requires="wps">
            <w:drawing>
              <wp:anchor distT="0" distB="0" distL="114300" distR="114300" simplePos="0" relativeHeight="251670528"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0528;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76BE10F0">
                            <w:pPr>
                              <w:pStyle w:val="16"/>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5FAE9AB5">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68480;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76BE10F0">
                      <w:pPr>
                        <w:pStyle w:val="16"/>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5FAE9AB5">
                      <w:pPr>
                        <w:rPr>
                          <w:szCs w:val="32"/>
                        </w:rPr>
                      </w:pPr>
                    </w:p>
                  </w:txbxContent>
                </v:textbox>
                <w10:anchorlock/>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67456;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6432" behindDoc="0" locked="1" layoutInCell="0" allowOverlap="1">
                <wp:simplePos x="0" y="0"/>
                <wp:positionH relativeFrom="margin">
                  <wp:posOffset>3741420</wp:posOffset>
                </wp:positionH>
                <wp:positionV relativeFrom="margin">
                  <wp:posOffset>7825105</wp:posOffset>
                </wp:positionV>
                <wp:extent cx="2019300" cy="347980"/>
                <wp:effectExtent l="0" t="0" r="0" b="762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18EECF4A">
                            <w:pPr>
                              <w:pStyle w:val="14"/>
                            </w:pPr>
                            <w:r>
                              <w:rPr>
                                <w:rFonts w:hint="eastAsia" w:ascii="黑体" w:hAnsi="黑体" w:cs="黑体"/>
                              </w:rPr>
                              <w:t>202×-××-××实施</w:t>
                            </w:r>
                          </w:p>
                          <w:p w14:paraId="3B19C207">
                            <w:pPr>
                              <w:rPr>
                                <w:rFonts w:eastAsia="黑体"/>
                                <w:sz w:val="28"/>
                                <w:szCs w:val="28"/>
                              </w:rPr>
                            </w:pPr>
                          </w:p>
                          <w:p w14:paraId="7DAE6010"/>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6432;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18EECF4A">
                      <w:pPr>
                        <w:pStyle w:val="14"/>
                      </w:pPr>
                      <w:r>
                        <w:rPr>
                          <w:rFonts w:hint="eastAsia" w:ascii="黑体" w:hAnsi="黑体" w:cs="黑体"/>
                        </w:rPr>
                        <w:t>202×-××-××实施</w:t>
                      </w:r>
                    </w:p>
                    <w:p w14:paraId="3B19C207">
                      <w:pPr>
                        <w:rPr>
                          <w:rFonts w:eastAsia="黑体"/>
                          <w:sz w:val="28"/>
                          <w:szCs w:val="28"/>
                        </w:rPr>
                      </w:pPr>
                    </w:p>
                    <w:p w14:paraId="7DAE6010"/>
                  </w:txbxContent>
                </v:textbox>
                <w10:anchorlock/>
              </v:shap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-242570</wp:posOffset>
                </wp:positionH>
                <wp:positionV relativeFrom="margin">
                  <wp:posOffset>7825105</wp:posOffset>
                </wp:positionV>
                <wp:extent cx="2019300" cy="312420"/>
                <wp:effectExtent l="0" t="0" r="0" b="508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56677FF">
                            <w:pPr>
                              <w:pStyle w:val="14"/>
                              <w:jc w:val="left"/>
                              <w:rPr>
                                <w:rFonts w:ascii="黑体" w:hAnsi="黑体" w:cs="黑体"/>
                              </w:rPr>
                            </w:pPr>
                            <w:r>
                              <w:rPr>
                                <w:rFonts w:hint="eastAsia" w:ascii="黑体" w:hAnsi="黑体" w:cs="黑体"/>
                              </w:rPr>
                              <w:t>202×-××-××发布</w:t>
                            </w:r>
                          </w:p>
                          <w:p w14:paraId="5BC0514A">
                            <w:pPr>
                              <w:rPr>
                                <w:sz w:val="28"/>
                                <w:szCs w:val="28"/>
                              </w:rPr>
                            </w:pPr>
                          </w:p>
                          <w:p w14:paraId="28D809A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5408;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156677FF">
                      <w:pPr>
                        <w:pStyle w:val="14"/>
                        <w:jc w:val="left"/>
                        <w:rPr>
                          <w:rFonts w:ascii="黑体" w:hAnsi="黑体" w:cs="黑体"/>
                        </w:rPr>
                      </w:pPr>
                      <w:r>
                        <w:rPr>
                          <w:rFonts w:hint="eastAsia" w:ascii="黑体" w:hAnsi="黑体" w:cs="黑体"/>
                        </w:rPr>
                        <w:t>202×-××-××发布</w:t>
                      </w:r>
                    </w:p>
                    <w:p w14:paraId="5BC0514A">
                      <w:pPr>
                        <w:rPr>
                          <w:sz w:val="28"/>
                          <w:szCs w:val="28"/>
                        </w:rPr>
                      </w:pPr>
                    </w:p>
                    <w:p w14:paraId="28D809AC">
                      <w:pPr>
                        <w:rPr>
                          <w:rFonts w:ascii="黑体" w:eastAsia="黑体"/>
                          <w:sz w:val="28"/>
                          <w:szCs w:val="28"/>
                        </w:rPr>
                      </w:pPr>
                    </w:p>
                  </w:txbxContent>
                </v:textbox>
                <w10:anchorlock/>
              </v:shape>
            </w:pict>
          </mc:Fallback>
        </mc:AlternateContent>
      </w:r>
    </w:p>
    <w:p w14:paraId="21675E34">
      <w:pPr>
        <w:pStyle w:val="18"/>
        <w:bidi w:val="0"/>
        <w:sectPr>
          <w:footerReference r:id="rId4" w:type="default"/>
          <w:headerReference r:id="rId3" w:type="even"/>
          <w:pgSz w:w="11906" w:h="16838"/>
          <w:pgMar w:top="1440" w:right="1800" w:bottom="1440" w:left="1800" w:header="1418" w:footer="1134" w:gutter="284"/>
          <w:pgNumType w:fmt="upperRoman" w:start="1"/>
          <w:cols w:space="425" w:num="1"/>
          <w:formProt w:val="0"/>
          <w:docGrid w:type="lines" w:linePitch="312" w:charSpace="0"/>
        </w:sectPr>
      </w:pPr>
    </w:p>
    <w:p w14:paraId="0549FA54">
      <w:pPr>
        <w:pStyle w:val="18"/>
        <w:bidi w:val="0"/>
      </w:pPr>
      <w:r>
        <w:rPr>
          <w:rFonts w:hint="eastAsia"/>
          <w:spacing w:val="320"/>
        </w:rPr>
        <w:t>前</w:t>
      </w:r>
      <w:r>
        <w:rPr>
          <w:rFonts w:hint="eastAsia"/>
        </w:rPr>
        <w:t>言</w:t>
      </w:r>
    </w:p>
    <w:p w14:paraId="51A3BBDC">
      <w:pPr>
        <w:pStyle w:val="19"/>
        <w:spacing w:line="360" w:lineRule="auto"/>
        <w:ind w:firstLine="420"/>
      </w:pPr>
      <w:r>
        <w:rPr>
          <w:rFonts w:hint="eastAsia"/>
        </w:rPr>
        <w:t>本文件按照GB/T 1.1—2020《标准化工作导则  第1部分：标准化文件的结构和起草规则》的规定起草。</w:t>
      </w:r>
    </w:p>
    <w:p w14:paraId="6A69EDA9">
      <w:pPr>
        <w:pStyle w:val="19"/>
        <w:spacing w:line="360" w:lineRule="auto"/>
        <w:ind w:firstLine="420"/>
      </w:pPr>
      <w:r>
        <w:rPr>
          <w:rFonts w:hint="eastAsia"/>
        </w:rPr>
        <w:t>本文件由中国香料香精化妆品工业协会提出并归口。</w:t>
      </w:r>
    </w:p>
    <w:p w14:paraId="1C26E4BF">
      <w:pPr>
        <w:pStyle w:val="19"/>
        <w:spacing w:line="360" w:lineRule="auto"/>
        <w:ind w:firstLine="420"/>
        <w:rPr>
          <w:highlight w:val="none"/>
        </w:rPr>
      </w:pPr>
      <w:r>
        <w:rPr>
          <w:rFonts w:hint="eastAsia"/>
        </w:rPr>
        <w:t>本文件起草单位：水羊化妆品制造有限公司</w:t>
      </w:r>
      <w:r>
        <w:rPr>
          <w:rFonts w:hint="eastAsia"/>
          <w:highlight w:val="none"/>
          <w:lang w:eastAsia="zh-CN"/>
        </w:rPr>
        <w:t>、湖南水羊生物科技有限公司、甘肃泛植制药有限公司、国家化妆品质量检验检测中心（广州）、湖南省药品检验检测研究院</w:t>
      </w:r>
      <w:r>
        <w:rPr>
          <w:highlight w:val="none"/>
        </w:rPr>
        <w:t>。</w:t>
      </w:r>
    </w:p>
    <w:p w14:paraId="19A5A758">
      <w:pPr>
        <w:pStyle w:val="19"/>
        <w:spacing w:line="360" w:lineRule="auto"/>
        <w:ind w:firstLine="420"/>
      </w:pPr>
      <w:r>
        <w:rPr>
          <w:rFonts w:hint="eastAsia"/>
          <w:highlight w:val="none"/>
        </w:rPr>
        <w:t>本文件主要起草人：张廷志、颜少慰、刘泽鑫、高畅、吴谦、陈国宝、李鑫宇、潘小红、徐筱群、黄意。</w:t>
      </w:r>
    </w:p>
    <w:p w14:paraId="4DA06DB9">
      <w:pPr>
        <w:pStyle w:val="17"/>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17"/>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479E565B">
      <w:pPr>
        <w:pStyle w:val="19"/>
        <w:spacing w:line="360" w:lineRule="auto"/>
        <w:ind w:firstLine="420"/>
        <w:sectPr>
          <w:pgSz w:w="11906" w:h="16838"/>
          <w:pgMar w:top="1928" w:right="1134" w:bottom="1134" w:left="1134" w:header="1418" w:footer="1134" w:gutter="284"/>
          <w:pgNumType w:fmt="upperRoman" w:start="1"/>
          <w:cols w:space="425" w:num="1"/>
          <w:formProt w:val="0"/>
          <w:docGrid w:type="lines" w:linePitch="312" w:charSpace="0"/>
        </w:sectPr>
      </w:pPr>
    </w:p>
    <w:bookmarkEnd w:id="0"/>
    <w:p w14:paraId="75B513F3">
      <w:pPr>
        <w:spacing w:line="20" w:lineRule="exact"/>
        <w:jc w:val="center"/>
        <w:rPr>
          <w:rFonts w:ascii="Times New Roman" w:hAnsi="Times New Roman" w:eastAsia="黑体"/>
          <w:sz w:val="32"/>
          <w:szCs w:val="32"/>
        </w:rPr>
      </w:pPr>
      <w:bookmarkStart w:id="1" w:name="BookMark4"/>
    </w:p>
    <w:p w14:paraId="733B5FA1">
      <w:pPr>
        <w:spacing w:line="20" w:lineRule="exact"/>
        <w:jc w:val="center"/>
        <w:rPr>
          <w:rFonts w:ascii="黑体" w:hAnsi="黑体" w:eastAsia="黑体"/>
          <w:sz w:val="32"/>
          <w:szCs w:val="32"/>
        </w:rPr>
      </w:pPr>
    </w:p>
    <w:sdt>
      <w:sdtPr>
        <w:tag w:val="NEW_STAND_NAME"/>
        <w:id w:val="147455511"/>
        <w:lock w:val="sdtLocked"/>
        <w:placeholder>
          <w:docPart w:val="{7200c373-494f-4619-b055-c1ff830b0658}"/>
        </w:placeholder>
      </w:sdtPr>
      <w:sdtContent>
        <w:p w14:paraId="610D733E">
          <w:pPr>
            <w:pStyle w:val="20"/>
            <w:spacing w:before="312" w:beforeLines="100" w:after="686" w:afterLines="220"/>
          </w:pPr>
          <w:bookmarkStart w:id="2" w:name="NEW_STAND_NAME"/>
          <w:r>
            <w:rPr>
              <w:rFonts w:hint="eastAsia"/>
            </w:rPr>
            <w:t>化妆品用原料</w:t>
          </w:r>
          <w:r>
            <w:t xml:space="preserve">  </w:t>
          </w:r>
          <w:r>
            <w:rPr>
              <w:rFonts w:hint="eastAsia"/>
            </w:rPr>
            <w:t>黑参</w:t>
          </w:r>
          <w:r>
            <w:t>提取物</w:t>
          </w:r>
        </w:p>
      </w:sdtContent>
    </w:sdt>
    <w:bookmarkEnd w:id="2"/>
    <w:p w14:paraId="5E93897D">
      <w:pPr>
        <w:pStyle w:val="21"/>
        <w:numPr>
          <w:ilvl w:val="1"/>
          <w:numId w:val="0"/>
        </w:numPr>
        <w:spacing w:before="312" w:after="312"/>
        <w:ind w:left="0" w:leftChars="0" w:firstLine="0" w:firstLineChars="0"/>
      </w:pPr>
      <w:bookmarkStart w:id="3" w:name="_Toc24884218"/>
      <w:bookmarkStart w:id="4" w:name="_Toc17233333"/>
      <w:bookmarkStart w:id="5" w:name="_Toc26986771"/>
      <w:bookmarkStart w:id="6" w:name="_Toc26648465"/>
      <w:bookmarkStart w:id="7" w:name="_Toc26986530"/>
      <w:bookmarkStart w:id="8" w:name="_Toc24884211"/>
      <w:bookmarkStart w:id="9" w:name="_Toc26718930"/>
      <w:bookmarkStart w:id="10" w:name="_Toc17233325"/>
      <w:bookmarkStart w:id="11" w:name="_Toc97191423"/>
      <w:r>
        <w:rPr>
          <w:rFonts w:hint="eastAsia" w:ascii="黑体" w:hAnsi="Times New Roman" w:eastAsia="黑体" w:cs="Times New Roman"/>
          <w:b w:val="0"/>
          <w:i w:val="0"/>
          <w:sz w:val="21"/>
          <w:lang w:val="en-US" w:eastAsia="zh-CN" w:bidi="ar-SA"/>
        </w:rPr>
        <w:t>1　</w:t>
      </w:r>
      <w:r>
        <w:rPr>
          <w:rFonts w:hint="eastAsia"/>
        </w:rPr>
        <w:t>范围</w:t>
      </w:r>
      <w:bookmarkEnd w:id="3"/>
      <w:bookmarkEnd w:id="4"/>
      <w:bookmarkEnd w:id="5"/>
      <w:bookmarkEnd w:id="6"/>
      <w:bookmarkEnd w:id="7"/>
      <w:bookmarkEnd w:id="8"/>
      <w:bookmarkEnd w:id="9"/>
      <w:bookmarkEnd w:id="10"/>
      <w:bookmarkEnd w:id="11"/>
    </w:p>
    <w:p w14:paraId="64167903">
      <w:pPr>
        <w:pStyle w:val="19"/>
        <w:spacing w:line="360" w:lineRule="auto"/>
        <w:ind w:firstLine="420"/>
      </w:pPr>
      <w:bookmarkStart w:id="12" w:name="_Hlk144317558"/>
      <w:bookmarkStart w:id="13" w:name="_Toc17233334"/>
      <w:bookmarkStart w:id="14" w:name="_Toc17233326"/>
      <w:bookmarkStart w:id="15" w:name="_Toc24884219"/>
      <w:bookmarkStart w:id="16" w:name="_Toc26648466"/>
      <w:bookmarkStart w:id="17" w:name="_Toc24884212"/>
      <w:r>
        <w:rPr>
          <w:rFonts w:hint="eastAsia"/>
        </w:rPr>
        <w:t>本</w:t>
      </w:r>
      <w:r>
        <w:rPr>
          <w:rFonts w:hint="eastAsia"/>
          <w:lang w:val="en-US" w:eastAsia="zh-CN"/>
        </w:rPr>
        <w:t>文件</w:t>
      </w:r>
      <w:r>
        <w:rPr>
          <w:rFonts w:hint="eastAsia"/>
        </w:rPr>
        <w:t>规定了化妆品用原料黑参提取物的技术要求、检验方法、检验规则、标签、包装、运输、贮存和保质期。</w:t>
      </w:r>
    </w:p>
    <w:bookmarkEnd w:id="12"/>
    <w:p w14:paraId="61215B2B">
      <w:pPr>
        <w:pStyle w:val="19"/>
        <w:spacing w:line="360" w:lineRule="auto"/>
        <w:ind w:firstLine="420"/>
        <w:rPr>
          <w:rFonts w:hint="default" w:eastAsia="宋体"/>
          <w:lang w:val="en-US" w:eastAsia="zh-CN"/>
        </w:rPr>
      </w:pPr>
      <w:r>
        <w:rPr>
          <w:rFonts w:hint="eastAsia"/>
        </w:rPr>
        <w:t>本</w:t>
      </w:r>
      <w:r>
        <w:rPr>
          <w:rFonts w:hint="eastAsia"/>
          <w:lang w:val="en-US" w:eastAsia="zh-CN"/>
        </w:rPr>
        <w:t>文件</w:t>
      </w:r>
      <w:r>
        <w:rPr>
          <w:rFonts w:hint="eastAsia"/>
        </w:rPr>
        <w:t>适用于以五加科植物人参的栽培品经九蒸九晒工艺炮制后的干燥根和根茎</w:t>
      </w:r>
      <w:r>
        <w:rPr>
          <w:rFonts w:hint="eastAsia"/>
          <w:lang w:val="en-US" w:eastAsia="zh-CN"/>
        </w:rPr>
        <w:t>为原料，经烘干、破碎、提取、浓缩、干燥后制成的</w:t>
      </w:r>
      <w:r>
        <w:rPr>
          <w:rFonts w:hint="eastAsia"/>
        </w:rPr>
        <w:t>可作为化妆品原料的粉末状黑参提取物。</w:t>
      </w:r>
    </w:p>
    <w:p w14:paraId="74AB2EF2">
      <w:pPr>
        <w:pStyle w:val="21"/>
        <w:numPr>
          <w:ilvl w:val="1"/>
          <w:numId w:val="0"/>
        </w:numPr>
        <w:spacing w:before="312" w:after="312"/>
        <w:ind w:left="0" w:leftChars="0" w:firstLine="0" w:firstLineChars="0"/>
      </w:pPr>
      <w:bookmarkStart w:id="18" w:name="_Toc26986772"/>
      <w:bookmarkStart w:id="19" w:name="_Toc26718931"/>
      <w:bookmarkStart w:id="20" w:name="_Toc26986531"/>
      <w:bookmarkStart w:id="21" w:name="_Toc97191424"/>
      <w:r>
        <w:rPr>
          <w:rFonts w:hint="eastAsia" w:ascii="黑体" w:hAnsi="Times New Roman" w:eastAsia="黑体" w:cs="Times New Roman"/>
          <w:b w:val="0"/>
          <w:i w:val="0"/>
          <w:sz w:val="21"/>
          <w:lang w:val="en-US" w:eastAsia="zh-CN" w:bidi="ar-SA"/>
        </w:rPr>
        <w:t>2　</w:t>
      </w:r>
      <w:r>
        <w:rPr>
          <w:rFonts w:hint="eastAsia"/>
        </w:rPr>
        <w:t>规范性引用文件</w:t>
      </w:r>
      <w:bookmarkEnd w:id="13"/>
      <w:bookmarkEnd w:id="14"/>
      <w:bookmarkEnd w:id="15"/>
      <w:bookmarkEnd w:id="16"/>
      <w:bookmarkEnd w:id="17"/>
      <w:bookmarkEnd w:id="18"/>
      <w:bookmarkEnd w:id="19"/>
      <w:bookmarkEnd w:id="20"/>
      <w:bookmarkEnd w:id="21"/>
    </w:p>
    <w:sdt>
      <w:sdtPr>
        <w:rPr>
          <w:rFonts w:hint="eastAsia"/>
        </w:rPr>
        <w:id w:val="147456319"/>
        <w:placeholder>
          <w:docPart w:val="{3b2d7bff-6fa9-47b3-91ef-dc09ee0a79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0E77C50">
          <w:pPr>
            <w:pStyle w:val="19"/>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F368BD">
      <w:pPr>
        <w:pStyle w:val="19"/>
        <w:spacing w:line="360" w:lineRule="auto"/>
        <w:ind w:firstLine="199" w:firstLineChars="95"/>
      </w:pPr>
      <w:r>
        <w:rPr>
          <w:rFonts w:hint="eastAsia"/>
        </w:rPr>
        <w:t>G</w:t>
      </w:r>
      <w:r>
        <w:t xml:space="preserve">B/T 191 </w:t>
      </w:r>
      <w:r>
        <w:rPr>
          <w:rFonts w:hint="eastAsia"/>
        </w:rPr>
        <w:t>包装储运图示标志</w:t>
      </w:r>
    </w:p>
    <w:p w14:paraId="0B2ED08E">
      <w:pPr>
        <w:pStyle w:val="19"/>
        <w:spacing w:line="360" w:lineRule="auto"/>
        <w:ind w:firstLine="199" w:firstLineChars="95"/>
        <w:rPr>
          <w:rFonts w:hint="eastAsia"/>
        </w:rPr>
      </w:pPr>
      <w:r>
        <w:rPr>
          <w:rFonts w:hint="eastAsia"/>
        </w:rPr>
        <w:t>GB/T 37625 化妆品检验规则</w:t>
      </w:r>
    </w:p>
    <w:p w14:paraId="00FAB661">
      <w:pPr>
        <w:pStyle w:val="19"/>
        <w:spacing w:line="360" w:lineRule="auto"/>
        <w:ind w:firstLine="199" w:firstLineChars="95"/>
        <w:rPr>
          <w:rFonts w:hint="eastAsia"/>
        </w:rPr>
      </w:pPr>
      <w:r>
        <w:rPr>
          <w:rFonts w:hint="eastAsia"/>
        </w:rPr>
        <w:t>GB/T 6682</w:t>
      </w:r>
      <w:r>
        <w:t xml:space="preserve"> </w:t>
      </w:r>
      <w:r>
        <w:rPr>
          <w:rFonts w:hint="eastAsia"/>
        </w:rPr>
        <w:t>分析实验室用水规格和试验方法</w:t>
      </w:r>
    </w:p>
    <w:p w14:paraId="486DA9CE">
      <w:pPr>
        <w:pStyle w:val="19"/>
        <w:spacing w:line="360" w:lineRule="auto"/>
        <w:ind w:firstLine="199" w:firstLineChars="95"/>
        <w:rPr>
          <w:rFonts w:hint="eastAsia"/>
        </w:rPr>
      </w:pPr>
      <w:r>
        <w:rPr>
          <w:rFonts w:hint="eastAsia"/>
        </w:rPr>
        <w:t>GB/T 8170 数值修约规则与极限数值的表示和</w:t>
      </w:r>
      <w:r>
        <w:rPr>
          <w:rFonts w:hint="eastAsia"/>
          <w:lang w:eastAsia="zh-CN"/>
        </w:rPr>
        <w:t>判定</w:t>
      </w:r>
    </w:p>
    <w:p w14:paraId="58E9350C">
      <w:pPr>
        <w:pStyle w:val="19"/>
        <w:spacing w:line="360" w:lineRule="auto"/>
        <w:ind w:firstLine="199" w:firstLineChars="95"/>
        <w:rPr>
          <w:rFonts w:hint="eastAsia" w:ascii="宋体" w:hAnsi="Times New Roman" w:eastAsia="宋体" w:cs="Times New Roman"/>
        </w:rPr>
      </w:pPr>
      <w:r>
        <w:rPr>
          <w:rFonts w:hint="eastAsia" w:ascii="宋体" w:hAnsi="Times New Roman" w:eastAsia="宋体" w:cs="Times New Roman"/>
        </w:rPr>
        <w:t>《中华人民共和国药典》（2020</w:t>
      </w:r>
      <w:r>
        <w:rPr>
          <w:rFonts w:hint="eastAsia" w:cs="Times New Roman"/>
          <w:lang w:val="en-US" w:eastAsia="zh-CN"/>
        </w:rPr>
        <w:t>年</w:t>
      </w:r>
      <w:r>
        <w:rPr>
          <w:rFonts w:hint="eastAsia" w:ascii="宋体" w:hAnsi="Times New Roman" w:eastAsia="宋体" w:cs="Times New Roman"/>
        </w:rPr>
        <w:t>版）</w:t>
      </w:r>
    </w:p>
    <w:p w14:paraId="72E171FF">
      <w:pPr>
        <w:pStyle w:val="21"/>
        <w:numPr>
          <w:ilvl w:val="1"/>
          <w:numId w:val="0"/>
        </w:numPr>
        <w:spacing w:before="312" w:after="312"/>
        <w:ind w:left="0" w:leftChars="0" w:firstLine="0" w:firstLineChars="0"/>
      </w:pPr>
      <w:r>
        <w:rPr>
          <w:rFonts w:hint="eastAsia" w:ascii="黑体" w:hAnsi="Times New Roman" w:eastAsia="黑体" w:cs="Times New Roman"/>
          <w:b w:val="0"/>
          <w:i w:val="0"/>
          <w:sz w:val="21"/>
          <w:lang w:val="en-US" w:eastAsia="zh-CN" w:bidi="ar-SA"/>
        </w:rPr>
        <w:t>3　</w:t>
      </w:r>
      <w:r>
        <w:rPr>
          <w:rFonts w:hint="eastAsia"/>
        </w:rPr>
        <w:t>术语与定义</w:t>
      </w:r>
    </w:p>
    <w:p w14:paraId="678419EB">
      <w:pPr>
        <w:pStyle w:val="2"/>
      </w:pPr>
      <w:r>
        <w:rPr>
          <w:rFonts w:hint="eastAsia" w:ascii="宋体" w:hAnsi="宋体" w:cs="宋体"/>
          <w:sz w:val="21"/>
          <w:szCs w:val="21"/>
          <w:lang w:val="en-US" w:eastAsia="zh-CN"/>
        </w:rPr>
        <w:t>本文件没有需要界定的术语和定义。</w:t>
      </w:r>
    </w:p>
    <w:p w14:paraId="519FC402">
      <w:pPr>
        <w:spacing w:before="320" w:after="120" w:line="288" w:lineRule="auto"/>
        <w:jc w:val="left"/>
        <w:outlineLvl w:val="1"/>
      </w:pPr>
      <w:bookmarkStart w:id="22" w:name="_Hlk145234918"/>
      <w:r>
        <w:rPr>
          <w:rFonts w:hint="eastAsia" w:ascii="黑体" w:hAnsi="黑体" w:eastAsia="黑体" w:cs="黑体"/>
          <w:sz w:val="21"/>
          <w:szCs w:val="21"/>
          <w:lang w:val="en-US" w:eastAsia="zh-CN"/>
        </w:rPr>
        <w:t>4 基本信息</w:t>
      </w:r>
      <w:r>
        <w:rPr>
          <w:rFonts w:hint="eastAsia" w:ascii="黑体" w:hAnsi="黑体" w:eastAsia="黑体" w:cs="黑体"/>
          <w:sz w:val="21"/>
          <w:szCs w:val="21"/>
        </w:rPr>
        <w:t xml:space="preserve"> </w:t>
      </w:r>
    </w:p>
    <w:bookmarkEnd w:id="22"/>
    <w:p w14:paraId="3CA3F8F4">
      <w:pPr>
        <w:pStyle w:val="22"/>
        <w:numPr>
          <w:ilvl w:val="2"/>
          <w:numId w:val="0"/>
        </w:numPr>
        <w:spacing w:line="360" w:lineRule="auto"/>
        <w:ind w:left="0" w:leftChars="0" w:firstLine="420" w:firstLineChars="200"/>
      </w:pPr>
      <w:r>
        <w:rPr>
          <w:rFonts w:hint="eastAsia"/>
        </w:rPr>
        <w:t>黑参提取物的主要活性成分：</w:t>
      </w:r>
    </w:p>
    <w:p w14:paraId="731ACB57">
      <w:pPr>
        <w:pStyle w:val="24"/>
        <w:spacing w:line="360" w:lineRule="auto"/>
        <w:rPr>
          <w:rFonts w:hint="eastAsia"/>
        </w:rPr>
      </w:pPr>
      <w:r>
        <w:rPr>
          <w:rFonts w:hint="eastAsia"/>
        </w:rPr>
        <w:t>人参皂苷Rg3（Ginsenoside Rg3，CAS：14197-60-5）</w:t>
      </w:r>
    </w:p>
    <w:p w14:paraId="2E814EDC">
      <w:pPr>
        <w:pStyle w:val="24"/>
        <w:numPr>
          <w:ilvl w:val="0"/>
          <w:numId w:val="0"/>
        </w:numPr>
        <w:spacing w:line="360" w:lineRule="auto"/>
        <w:ind w:left="-1" w:firstLine="420" w:firstLineChars="200"/>
        <w:rPr>
          <w:rFonts w:hint="eastAsia"/>
          <w:vertAlign w:val="subscript"/>
        </w:rPr>
      </w:pPr>
      <w:r>
        <w:rPr>
          <w:rFonts w:hint="eastAsia"/>
        </w:rPr>
        <w:t>人参皂苷Rg3分子式：C</w:t>
      </w:r>
      <w:r>
        <w:rPr>
          <w:rFonts w:hint="eastAsia"/>
          <w:vertAlign w:val="subscript"/>
        </w:rPr>
        <w:t>48</w:t>
      </w:r>
      <w:r>
        <w:rPr>
          <w:rFonts w:hint="eastAsia"/>
        </w:rPr>
        <w:t>H</w:t>
      </w:r>
      <w:r>
        <w:rPr>
          <w:rFonts w:hint="eastAsia"/>
          <w:vertAlign w:val="subscript"/>
        </w:rPr>
        <w:t>78</w:t>
      </w:r>
      <w:r>
        <w:rPr>
          <w:rFonts w:hint="eastAsia"/>
        </w:rPr>
        <w:t>O</w:t>
      </w:r>
      <w:r>
        <w:rPr>
          <w:rFonts w:hint="eastAsia"/>
          <w:vertAlign w:val="subscript"/>
        </w:rPr>
        <w:t>19</w:t>
      </w:r>
    </w:p>
    <w:p w14:paraId="05318369">
      <w:pPr>
        <w:pStyle w:val="24"/>
        <w:numPr>
          <w:ilvl w:val="0"/>
          <w:numId w:val="0"/>
        </w:numPr>
        <w:spacing w:line="360" w:lineRule="auto"/>
        <w:ind w:firstLine="420" w:firstLineChars="200"/>
        <w:rPr>
          <w:rFonts w:hint="eastAsia"/>
        </w:rPr>
      </w:pPr>
      <w:r>
        <w:rPr>
          <w:rFonts w:hint="eastAsia"/>
        </w:rPr>
        <w:t>人参皂苷Rg3相对分子质量：785.01</w:t>
      </w:r>
    </w:p>
    <w:p w14:paraId="30289A6D">
      <w:pPr>
        <w:pStyle w:val="24"/>
        <w:numPr>
          <w:ilvl w:val="0"/>
          <w:numId w:val="0"/>
        </w:numPr>
        <w:spacing w:line="360" w:lineRule="auto"/>
        <w:ind w:firstLine="420" w:firstLineChars="200"/>
      </w:pPr>
      <w:r>
        <w:rPr>
          <w:rFonts w:hint="eastAsia"/>
        </w:rPr>
        <w:t>人参皂苷Rg3的结构式：</w:t>
      </w:r>
    </w:p>
    <w:p w14:paraId="2217987E">
      <w:pPr>
        <w:pStyle w:val="24"/>
        <w:numPr>
          <w:ilvl w:val="0"/>
          <w:numId w:val="0"/>
        </w:numPr>
        <w:rPr>
          <w:rFonts w:hint="eastAsia"/>
        </w:rPr>
      </w:pPr>
      <w:r>
        <w:drawing>
          <wp:inline distT="0" distB="0" distL="0" distR="0">
            <wp:extent cx="3289300" cy="1478280"/>
            <wp:effectExtent l="0" t="0" r="635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345098" cy="1503399"/>
                    </a:xfrm>
                    <a:prstGeom prst="rect">
                      <a:avLst/>
                    </a:prstGeom>
                  </pic:spPr>
                </pic:pic>
              </a:graphicData>
            </a:graphic>
          </wp:inline>
        </w:drawing>
      </w:r>
    </w:p>
    <w:p w14:paraId="5F1291BF">
      <w:pPr>
        <w:pStyle w:val="24"/>
        <w:spacing w:line="360" w:lineRule="auto"/>
      </w:pPr>
      <w:r>
        <w:rPr>
          <w:rFonts w:hint="eastAsia"/>
        </w:rPr>
        <w:t>人参总多糖</w:t>
      </w:r>
    </w:p>
    <w:p w14:paraId="283F6AA7">
      <w:pPr>
        <w:pStyle w:val="24"/>
        <w:spacing w:line="360" w:lineRule="auto"/>
        <w:rPr>
          <w:rFonts w:hint="eastAsia"/>
        </w:rPr>
      </w:pPr>
      <w:r>
        <w:rPr>
          <w:rFonts w:hint="eastAsia"/>
        </w:rPr>
        <w:t>人参总皂苷</w:t>
      </w:r>
    </w:p>
    <w:p w14:paraId="6277767E">
      <w:pPr>
        <w:pStyle w:val="21"/>
        <w:numPr>
          <w:ilvl w:val="1"/>
          <w:numId w:val="0"/>
        </w:numPr>
        <w:spacing w:before="312" w:after="312"/>
        <w:ind w:left="0" w:leftChars="0" w:firstLine="0" w:firstLineChars="0"/>
      </w:pPr>
      <w:r>
        <w:rPr>
          <w:rFonts w:hint="eastAsia" w:cs="Times New Roman"/>
          <w:b w:val="0"/>
          <w:i w:val="0"/>
          <w:sz w:val="21"/>
          <w:lang w:val="en-US" w:eastAsia="zh-CN" w:bidi="ar-SA"/>
        </w:rPr>
        <w:t>5</w:t>
      </w:r>
      <w:r>
        <w:rPr>
          <w:rFonts w:hint="eastAsia" w:ascii="黑体" w:hAnsi="Times New Roman" w:eastAsia="黑体" w:cs="Times New Roman"/>
          <w:b w:val="0"/>
          <w:i w:val="0"/>
          <w:sz w:val="21"/>
          <w:lang w:val="en-US" w:eastAsia="zh-CN" w:bidi="ar-SA"/>
        </w:rPr>
        <w:t>　</w:t>
      </w:r>
      <w:r>
        <w:rPr>
          <w:rFonts w:hint="eastAsia"/>
        </w:rPr>
        <w:t>技术要求</w:t>
      </w:r>
    </w:p>
    <w:p w14:paraId="2E747780">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rPr>
        <w:t>产品要求</w:t>
      </w:r>
    </w:p>
    <w:p w14:paraId="21DFE10D">
      <w:pPr>
        <w:pStyle w:val="25"/>
        <w:numPr>
          <w:ilvl w:val="3"/>
          <w:numId w:val="0"/>
        </w:numPr>
        <w:spacing w:before="156" w:after="156"/>
        <w:ind w:left="0" w:leftChars="0" w:firstLine="0" w:firstLineChars="0"/>
      </w:pPr>
      <w:r>
        <w:rPr>
          <w:rFonts w:hint="eastAsia" w:cs="Times New Roman"/>
          <w:b w:val="0"/>
          <w:i w:val="0"/>
          <w:sz w:val="21"/>
          <w:lang w:val="en-US" w:eastAsia="zh-CN" w:bidi="ar-SA"/>
        </w:rPr>
        <w:t>5</w:t>
      </w:r>
      <w:r>
        <w:rPr>
          <w:rFonts w:hint="eastAsia" w:ascii="黑体" w:hAnsi="Times New Roman" w:eastAsia="黑体" w:cs="Times New Roman"/>
          <w:b w:val="0"/>
          <w:i w:val="0"/>
          <w:sz w:val="21"/>
          <w:lang w:val="en-US" w:eastAsia="zh-CN" w:bidi="ar-SA"/>
        </w:rPr>
        <w:t>.</w:t>
      </w:r>
      <w:r>
        <w:rPr>
          <w:rFonts w:hint="eastAsia" w:cs="Times New Roman"/>
          <w:b w:val="0"/>
          <w:i w:val="0"/>
          <w:sz w:val="21"/>
          <w:lang w:val="en-US" w:eastAsia="zh-CN" w:bidi="ar-SA"/>
        </w:rPr>
        <w:t>1</w:t>
      </w:r>
      <w:r>
        <w:rPr>
          <w:rFonts w:hint="eastAsia" w:ascii="黑体" w:hAnsi="Times New Roman" w:eastAsia="黑体" w:cs="Times New Roman"/>
          <w:b w:val="0"/>
          <w:i w:val="0"/>
          <w:sz w:val="21"/>
          <w:lang w:val="en-US" w:eastAsia="zh-CN" w:bidi="ar-SA"/>
        </w:rPr>
        <w:t>.1　</w:t>
      </w:r>
      <w:r>
        <w:rPr>
          <w:rFonts w:hint="eastAsia"/>
        </w:rPr>
        <w:t>感官</w:t>
      </w:r>
      <w:r>
        <w:rPr>
          <w:rFonts w:hint="eastAsia"/>
          <w:lang w:eastAsia="zh-CN"/>
        </w:rPr>
        <w:t>、</w:t>
      </w:r>
      <w:r>
        <w:rPr>
          <w:rFonts w:hint="eastAsia"/>
          <w:lang w:val="en-US" w:eastAsia="zh-CN"/>
        </w:rPr>
        <w:t>理化指标</w:t>
      </w:r>
    </w:p>
    <w:p w14:paraId="7ADCECC8">
      <w:pPr>
        <w:pStyle w:val="19"/>
        <w:spacing w:line="360" w:lineRule="auto"/>
        <w:ind w:firstLine="420"/>
      </w:pPr>
      <w:r>
        <w:rPr>
          <w:rFonts w:hint="eastAsia"/>
          <w:lang w:val="en-US" w:eastAsia="zh-CN"/>
        </w:rPr>
        <w:t>感官、理化指标详见表1</w:t>
      </w:r>
      <w:r>
        <w:rPr>
          <w:rFonts w:hint="eastAsia"/>
        </w:rPr>
        <w:t>。</w:t>
      </w:r>
    </w:p>
    <w:p w14:paraId="0F3EB58C">
      <w:pPr>
        <w:pStyle w:val="26"/>
        <w:spacing w:before="156" w:after="156"/>
      </w:pPr>
      <w:r>
        <w:rPr>
          <w:rFonts w:hint="eastAsia"/>
        </w:rPr>
        <w:t>感官</w:t>
      </w:r>
      <w:r>
        <w:rPr>
          <w:rFonts w:hint="eastAsia"/>
          <w:lang w:eastAsia="zh-CN"/>
        </w:rPr>
        <w:t>、</w:t>
      </w:r>
      <w:r>
        <w:rPr>
          <w:rFonts w:hint="eastAsia"/>
          <w:lang w:val="en-US" w:eastAsia="zh-CN"/>
        </w:rPr>
        <w:t>理化</w:t>
      </w:r>
      <w:r>
        <w:rPr>
          <w:rFonts w:hint="eastAsia"/>
        </w:rPr>
        <w:t>要求</w:t>
      </w:r>
    </w:p>
    <w:tbl>
      <w:tblPr>
        <w:tblStyle w:val="7"/>
        <w:tblW w:w="85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
        <w:gridCol w:w="5355"/>
        <w:gridCol w:w="2265"/>
      </w:tblGrid>
      <w:tr w14:paraId="5A99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7" w:type="dxa"/>
            <w:gridSpan w:val="2"/>
            <w:vAlign w:val="center"/>
          </w:tcPr>
          <w:p w14:paraId="4FD0165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2265" w:type="dxa"/>
            <w:vAlign w:val="center"/>
          </w:tcPr>
          <w:p w14:paraId="017D214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00ED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restart"/>
            <w:vAlign w:val="center"/>
          </w:tcPr>
          <w:p w14:paraId="44BA79E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感官指标</w:t>
            </w:r>
          </w:p>
        </w:tc>
        <w:tc>
          <w:tcPr>
            <w:tcW w:w="5355" w:type="dxa"/>
            <w:vAlign w:val="center"/>
          </w:tcPr>
          <w:p w14:paraId="1DA823B1">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外观</w:t>
            </w:r>
          </w:p>
        </w:tc>
        <w:tc>
          <w:tcPr>
            <w:tcW w:w="2265" w:type="dxa"/>
            <w:vAlign w:val="center"/>
          </w:tcPr>
          <w:p w14:paraId="1ED559A3">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棕褐色，粉末状</w:t>
            </w:r>
          </w:p>
        </w:tc>
      </w:tr>
      <w:tr w14:paraId="5B6E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24311F80">
            <w:pPr>
              <w:jc w:val="center"/>
              <w:rPr>
                <w:rFonts w:hint="eastAsia" w:ascii="宋体" w:hAnsi="宋体" w:eastAsia="宋体" w:cs="宋体"/>
                <w:color w:val="000000"/>
                <w:sz w:val="18"/>
                <w:szCs w:val="18"/>
              </w:rPr>
            </w:pPr>
          </w:p>
        </w:tc>
        <w:tc>
          <w:tcPr>
            <w:tcW w:w="5355" w:type="dxa"/>
            <w:vAlign w:val="center"/>
          </w:tcPr>
          <w:p w14:paraId="441BF7D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气味</w:t>
            </w:r>
          </w:p>
        </w:tc>
        <w:tc>
          <w:tcPr>
            <w:tcW w:w="2265" w:type="dxa"/>
            <w:vAlign w:val="center"/>
          </w:tcPr>
          <w:p w14:paraId="0AC35B3B">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有特征气味</w:t>
            </w:r>
          </w:p>
        </w:tc>
      </w:tr>
      <w:tr w14:paraId="1C62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restart"/>
            <w:vAlign w:val="center"/>
          </w:tcPr>
          <w:p w14:paraId="2664D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理化指标</w:t>
            </w:r>
          </w:p>
        </w:tc>
        <w:tc>
          <w:tcPr>
            <w:tcW w:w="5355" w:type="dxa"/>
            <w:shd w:val="clear" w:color="auto" w:fill="auto"/>
            <w:vAlign w:val="top"/>
          </w:tcPr>
          <w:p w14:paraId="7E597D1C">
            <w:pPr>
              <w:pStyle w:val="27"/>
              <w:ind w:firstLine="0" w:firstLineChars="0"/>
              <w:rPr>
                <w:rFonts w:hint="eastAsia" w:ascii="宋体" w:hAnsi="宋体" w:eastAsia="宋体" w:cs="宋体"/>
                <w:color w:val="000000"/>
                <w:kern w:val="2"/>
                <w:sz w:val="18"/>
                <w:szCs w:val="18"/>
                <w:lang w:val="en-US" w:eastAsia="zh-CN" w:bidi="ar-SA"/>
              </w:rPr>
            </w:pPr>
            <w:r>
              <w:rPr>
                <w:rFonts w:hint="eastAsia"/>
              </w:rPr>
              <w:t>水分/%</w:t>
            </w:r>
          </w:p>
        </w:tc>
        <w:tc>
          <w:tcPr>
            <w:tcW w:w="2265" w:type="dxa"/>
            <w:shd w:val="clear" w:color="auto" w:fill="auto"/>
            <w:vAlign w:val="center"/>
          </w:tcPr>
          <w:p w14:paraId="41F1F201">
            <w:pPr>
              <w:pStyle w:val="27"/>
              <w:ind w:firstLine="0" w:firstLineChars="0"/>
              <w:jc w:val="center"/>
              <w:rPr>
                <w:rFonts w:hint="default" w:ascii="宋体" w:hAnsi="宋体" w:eastAsia="宋体" w:cs="宋体"/>
                <w:color w:val="000000"/>
                <w:kern w:val="2"/>
                <w:sz w:val="18"/>
                <w:szCs w:val="18"/>
                <w:lang w:val="en-US" w:eastAsia="zh-CN" w:bidi="ar-SA"/>
              </w:rPr>
            </w:pPr>
            <w:r>
              <w:rPr>
                <w:rFonts w:hint="eastAsia"/>
              </w:rPr>
              <w:t>≤</w:t>
            </w:r>
            <w:r>
              <w:rPr>
                <w:rFonts w:hint="eastAsia"/>
                <w:lang w:val="en-US" w:eastAsia="zh-CN"/>
              </w:rPr>
              <w:t>3.5</w:t>
            </w:r>
          </w:p>
        </w:tc>
      </w:tr>
      <w:tr w14:paraId="02F6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952" w:type="dxa"/>
            <w:vMerge w:val="continue"/>
            <w:vAlign w:val="center"/>
          </w:tcPr>
          <w:p w14:paraId="3637D2A0">
            <w:pPr>
              <w:jc w:val="center"/>
              <w:rPr>
                <w:rFonts w:hint="eastAsia" w:ascii="宋体" w:hAnsi="宋体" w:eastAsia="宋体" w:cs="宋体"/>
                <w:color w:val="000000"/>
                <w:sz w:val="18"/>
                <w:szCs w:val="18"/>
              </w:rPr>
            </w:pPr>
          </w:p>
        </w:tc>
        <w:tc>
          <w:tcPr>
            <w:tcW w:w="5355" w:type="dxa"/>
            <w:shd w:val="clear" w:color="auto" w:fill="auto"/>
            <w:vAlign w:val="top"/>
          </w:tcPr>
          <w:p w14:paraId="5A209277">
            <w:pPr>
              <w:pStyle w:val="27"/>
              <w:ind w:firstLine="0" w:firstLineChars="0"/>
              <w:rPr>
                <w:rFonts w:hint="eastAsia" w:ascii="宋体" w:hAnsi="宋体" w:eastAsia="宋体" w:cs="宋体"/>
                <w:color w:val="000000"/>
                <w:kern w:val="2"/>
                <w:sz w:val="18"/>
                <w:szCs w:val="18"/>
                <w:lang w:val="en-US" w:eastAsia="zh-CN" w:bidi="ar-SA"/>
              </w:rPr>
            </w:pPr>
            <w:r>
              <w:rPr>
                <w:rFonts w:hint="eastAsia"/>
                <w:lang w:val="en-US" w:eastAsia="zh-CN"/>
              </w:rPr>
              <w:t>人参皂苷Rg3</w:t>
            </w:r>
            <w:r>
              <w:rPr>
                <w:rFonts w:hint="eastAsia"/>
              </w:rPr>
              <w:t>/</w:t>
            </w:r>
            <w:r>
              <w:t>%</w:t>
            </w:r>
          </w:p>
        </w:tc>
        <w:tc>
          <w:tcPr>
            <w:tcW w:w="2265" w:type="dxa"/>
            <w:shd w:val="clear" w:color="auto" w:fill="auto"/>
            <w:vAlign w:val="center"/>
          </w:tcPr>
          <w:p w14:paraId="024A74D6">
            <w:pPr>
              <w:pStyle w:val="27"/>
              <w:ind w:firstLine="0" w:firstLineChars="0"/>
              <w:jc w:val="center"/>
              <w:rPr>
                <w:rFonts w:hint="eastAsia" w:ascii="宋体" w:hAnsi="宋体" w:eastAsia="宋体" w:cs="宋体"/>
                <w:color w:val="000000"/>
                <w:kern w:val="2"/>
                <w:sz w:val="18"/>
                <w:szCs w:val="18"/>
                <w:lang w:val="en-US" w:eastAsia="zh-CN" w:bidi="ar-SA"/>
              </w:rPr>
            </w:pPr>
            <w:r>
              <w:rPr>
                <w:rFonts w:hint="eastAsia"/>
              </w:rPr>
              <w:t>≥</w:t>
            </w:r>
            <w:r>
              <w:rPr>
                <w:rFonts w:hint="eastAsia"/>
                <w:lang w:val="en-US" w:eastAsia="zh-CN"/>
              </w:rPr>
              <w:t>0</w:t>
            </w:r>
            <w:r>
              <w:t>.5</w:t>
            </w:r>
          </w:p>
        </w:tc>
      </w:tr>
      <w:tr w14:paraId="2675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20ECF766">
            <w:pPr>
              <w:jc w:val="center"/>
              <w:rPr>
                <w:rFonts w:hint="eastAsia" w:ascii="宋体" w:hAnsi="宋体" w:eastAsia="宋体" w:cs="宋体"/>
                <w:color w:val="000000"/>
                <w:sz w:val="18"/>
                <w:szCs w:val="18"/>
              </w:rPr>
            </w:pPr>
          </w:p>
        </w:tc>
        <w:tc>
          <w:tcPr>
            <w:tcW w:w="5355" w:type="dxa"/>
            <w:vAlign w:val="top"/>
          </w:tcPr>
          <w:p w14:paraId="0FA9FFD1">
            <w:pPr>
              <w:pStyle w:val="27"/>
              <w:ind w:firstLine="0" w:firstLineChars="0"/>
              <w:rPr>
                <w:rFonts w:hint="eastAsia" w:ascii="宋体" w:hAnsi="宋体" w:eastAsia="宋体" w:cs="宋体"/>
                <w:color w:val="000000"/>
                <w:sz w:val="18"/>
                <w:szCs w:val="18"/>
                <w:lang w:val="en-US" w:eastAsia="zh-CN"/>
              </w:rPr>
            </w:pPr>
            <w:r>
              <w:rPr>
                <w:rFonts w:hint="eastAsia"/>
                <w:lang w:val="en-US" w:eastAsia="zh-CN"/>
              </w:rPr>
              <w:t>人参总多糖</w:t>
            </w:r>
            <w:r>
              <w:rPr>
                <w:rFonts w:hint="eastAsia"/>
              </w:rPr>
              <w:t>/%</w:t>
            </w:r>
          </w:p>
        </w:tc>
        <w:tc>
          <w:tcPr>
            <w:tcW w:w="2265" w:type="dxa"/>
            <w:vAlign w:val="center"/>
          </w:tcPr>
          <w:p w14:paraId="7EFACC2F">
            <w:pPr>
              <w:pStyle w:val="27"/>
              <w:ind w:firstLine="0" w:firstLineChars="0"/>
              <w:jc w:val="center"/>
              <w:rPr>
                <w:rFonts w:hint="default" w:ascii="宋体" w:hAnsi="宋体" w:eastAsia="宋体" w:cs="宋体"/>
                <w:color w:val="000000"/>
                <w:sz w:val="18"/>
                <w:szCs w:val="18"/>
                <w:lang w:val="en-US" w:eastAsia="zh-CN"/>
              </w:rPr>
            </w:pPr>
            <w:r>
              <w:rPr>
                <w:rFonts w:hint="eastAsia"/>
                <w:lang w:val="en-US" w:eastAsia="zh-CN"/>
              </w:rPr>
              <w:t>≥40</w:t>
            </w:r>
          </w:p>
        </w:tc>
      </w:tr>
      <w:tr w14:paraId="6578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50A7B0DA">
            <w:pPr>
              <w:jc w:val="center"/>
              <w:rPr>
                <w:rFonts w:hint="eastAsia" w:ascii="宋体" w:hAnsi="宋体" w:eastAsia="宋体" w:cs="宋体"/>
                <w:color w:val="000000"/>
                <w:sz w:val="18"/>
                <w:szCs w:val="18"/>
              </w:rPr>
            </w:pPr>
          </w:p>
        </w:tc>
        <w:tc>
          <w:tcPr>
            <w:tcW w:w="5355" w:type="dxa"/>
            <w:shd w:val="clear" w:color="auto" w:fill="auto"/>
            <w:vAlign w:val="top"/>
          </w:tcPr>
          <w:p w14:paraId="5821A832">
            <w:pPr>
              <w:pStyle w:val="27"/>
              <w:ind w:firstLine="0" w:firstLineChars="0"/>
              <w:rPr>
                <w:rFonts w:hint="eastAsia" w:ascii="宋体" w:hAnsi="宋体" w:eastAsia="宋体" w:cs="宋体"/>
                <w:color w:val="000000"/>
                <w:kern w:val="2"/>
                <w:sz w:val="18"/>
                <w:szCs w:val="18"/>
                <w:lang w:val="en-US" w:eastAsia="zh-CN" w:bidi="ar-SA"/>
              </w:rPr>
            </w:pPr>
            <w:r>
              <w:rPr>
                <w:rFonts w:hint="eastAsia"/>
                <w:lang w:val="en-US" w:eastAsia="zh-CN"/>
              </w:rPr>
              <w:t>人参总皂苷</w:t>
            </w:r>
            <w:r>
              <w:rPr>
                <w:rFonts w:hint="eastAsia"/>
              </w:rPr>
              <w:t>/%</w:t>
            </w:r>
          </w:p>
        </w:tc>
        <w:tc>
          <w:tcPr>
            <w:tcW w:w="2265" w:type="dxa"/>
            <w:shd w:val="clear" w:color="auto" w:fill="auto"/>
            <w:vAlign w:val="center"/>
          </w:tcPr>
          <w:p w14:paraId="46D98775">
            <w:pPr>
              <w:pStyle w:val="27"/>
              <w:ind w:firstLine="0" w:firstLineChars="0"/>
              <w:jc w:val="center"/>
              <w:rPr>
                <w:rFonts w:hint="default" w:ascii="宋体" w:hAnsi="宋体" w:eastAsia="宋体" w:cs="宋体"/>
                <w:color w:val="000000"/>
                <w:kern w:val="2"/>
                <w:sz w:val="18"/>
                <w:szCs w:val="18"/>
                <w:lang w:val="en-US" w:eastAsia="zh-CN" w:bidi="ar-SA"/>
              </w:rPr>
            </w:pPr>
            <w:r>
              <w:rPr>
                <w:rFonts w:hint="eastAsia"/>
                <w:lang w:val="en-US" w:eastAsia="zh-CN"/>
              </w:rPr>
              <w:t>≥9</w:t>
            </w:r>
          </w:p>
        </w:tc>
      </w:tr>
    </w:tbl>
    <w:p w14:paraId="42317248">
      <w:pPr>
        <w:pStyle w:val="19"/>
        <w:ind w:left="0" w:leftChars="0" w:firstLine="0" w:firstLineChars="0"/>
      </w:pPr>
    </w:p>
    <w:p w14:paraId="206F38CD">
      <w:pPr>
        <w:pStyle w:val="25"/>
        <w:numPr>
          <w:ilvl w:val="3"/>
          <w:numId w:val="0"/>
        </w:numPr>
        <w:spacing w:before="156" w:after="156"/>
        <w:ind w:left="0" w:leftChars="0" w:firstLine="0" w:firstLineChars="0"/>
        <w:rPr>
          <w:rFonts w:hint="eastAsia" w:eastAsia="黑体"/>
          <w:lang w:val="en-US" w:eastAsia="zh-CN"/>
        </w:rPr>
      </w:pPr>
      <w:r>
        <w:rPr>
          <w:rFonts w:hint="eastAsia" w:cs="Times New Roman"/>
          <w:b w:val="0"/>
          <w:i w:val="0"/>
          <w:sz w:val="21"/>
          <w:lang w:val="en-US" w:eastAsia="zh-CN" w:bidi="ar-SA"/>
        </w:rPr>
        <w:t>5</w:t>
      </w:r>
      <w:r>
        <w:rPr>
          <w:rFonts w:hint="eastAsia" w:ascii="黑体" w:hAnsi="Times New Roman" w:eastAsia="黑体" w:cs="Times New Roman"/>
          <w:b w:val="0"/>
          <w:i w:val="0"/>
          <w:sz w:val="21"/>
          <w:lang w:val="en-US" w:eastAsia="zh-CN" w:bidi="ar-SA"/>
        </w:rPr>
        <w:t>.</w:t>
      </w:r>
      <w:r>
        <w:rPr>
          <w:rFonts w:hint="eastAsia" w:cs="Times New Roman"/>
          <w:b w:val="0"/>
          <w:i w:val="0"/>
          <w:sz w:val="21"/>
          <w:lang w:val="en-US" w:eastAsia="zh-CN" w:bidi="ar-SA"/>
        </w:rPr>
        <w:t>1</w:t>
      </w:r>
      <w:r>
        <w:rPr>
          <w:rFonts w:hint="eastAsia" w:ascii="黑体" w:hAnsi="Times New Roman" w:eastAsia="黑体" w:cs="Times New Roman"/>
          <w:b w:val="0"/>
          <w:i w:val="0"/>
          <w:sz w:val="21"/>
          <w:lang w:val="en-US" w:eastAsia="zh-CN" w:bidi="ar-SA"/>
        </w:rPr>
        <w:t>.</w:t>
      </w:r>
      <w:r>
        <w:rPr>
          <w:rFonts w:hint="eastAsia" w:cs="Times New Roman"/>
          <w:b w:val="0"/>
          <w:i w:val="0"/>
          <w:sz w:val="21"/>
          <w:lang w:val="en-US" w:eastAsia="zh-CN" w:bidi="ar-SA"/>
        </w:rPr>
        <w:t>2</w:t>
      </w:r>
      <w:r>
        <w:rPr>
          <w:rFonts w:hint="eastAsia" w:ascii="黑体" w:hAnsi="Times New Roman" w:eastAsia="黑体" w:cs="Times New Roman"/>
          <w:b w:val="0"/>
          <w:i w:val="0"/>
          <w:sz w:val="21"/>
          <w:lang w:val="en-US" w:eastAsia="zh-CN" w:bidi="ar-SA"/>
        </w:rPr>
        <w:t>　</w:t>
      </w:r>
      <w:r>
        <w:rPr>
          <w:rFonts w:hint="eastAsia" w:cs="Times New Roman"/>
          <w:b w:val="0"/>
          <w:i w:val="0"/>
          <w:sz w:val="21"/>
          <w:lang w:val="en-US" w:eastAsia="zh-CN" w:bidi="ar-SA"/>
        </w:rPr>
        <w:t>微生物及</w:t>
      </w:r>
      <w:r>
        <w:rPr>
          <w:rFonts w:hint="eastAsia"/>
        </w:rPr>
        <w:t>有害物质要</w:t>
      </w:r>
      <w:r>
        <w:rPr>
          <w:rFonts w:hint="eastAsia"/>
          <w:lang w:val="en-US" w:eastAsia="zh-CN"/>
        </w:rPr>
        <w:t>指标</w:t>
      </w:r>
    </w:p>
    <w:p w14:paraId="799B3EB0">
      <w:pPr>
        <w:pStyle w:val="19"/>
        <w:spacing w:line="360" w:lineRule="auto"/>
        <w:ind w:firstLine="420"/>
      </w:pPr>
      <w:r>
        <w:rPr>
          <w:rFonts w:hint="eastAsia"/>
          <w:lang w:val="en-US" w:eastAsia="zh-CN"/>
        </w:rPr>
        <w:t>微生物及有害物质指标详见表2。</w:t>
      </w:r>
    </w:p>
    <w:p w14:paraId="4C5B5224">
      <w:pPr>
        <w:pStyle w:val="26"/>
        <w:spacing w:before="156" w:after="156"/>
      </w:pPr>
      <w:r>
        <w:rPr>
          <w:rFonts w:hint="eastAsia"/>
          <w:lang w:val="en-US" w:eastAsia="zh-CN"/>
        </w:rPr>
        <w:t>微生物及</w:t>
      </w:r>
      <w:r>
        <w:rPr>
          <w:rFonts w:hint="eastAsia"/>
        </w:rPr>
        <w:t>有害物质</w:t>
      </w:r>
      <w:r>
        <w:rPr>
          <w:rFonts w:hint="eastAsia"/>
          <w:lang w:val="en-US" w:eastAsia="zh-CN"/>
        </w:rPr>
        <w:t>指标</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3246"/>
        <w:gridCol w:w="3555"/>
      </w:tblGrid>
      <w:tr w14:paraId="3D0A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407" w:type="dxa"/>
            <w:gridSpan w:val="2"/>
            <w:vAlign w:val="center"/>
          </w:tcPr>
          <w:p w14:paraId="22FEE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3555" w:type="dxa"/>
            <w:vAlign w:val="center"/>
          </w:tcPr>
          <w:p w14:paraId="79628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77F9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5FA9FCF4">
            <w:pPr>
              <w:jc w:val="center"/>
              <w:rPr>
                <w:rFonts w:hint="eastAsia" w:ascii="宋体" w:hAnsi="宋体" w:eastAsia="宋体" w:cs="宋体"/>
                <w:color w:val="000000"/>
                <w:sz w:val="18"/>
                <w:szCs w:val="18"/>
              </w:rPr>
            </w:pPr>
            <w:r>
              <w:rPr>
                <w:rFonts w:hint="eastAsia" w:ascii="宋体" w:hAnsi="宋体" w:eastAsia="宋体" w:cs="宋体"/>
                <w:sz w:val="18"/>
                <w:szCs w:val="18"/>
              </w:rPr>
              <w:t>微生物及有害物质指标</w:t>
            </w:r>
          </w:p>
        </w:tc>
        <w:tc>
          <w:tcPr>
            <w:tcW w:w="3246" w:type="dxa"/>
            <w:vAlign w:val="center"/>
          </w:tcPr>
          <w:p w14:paraId="1CFDBE7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菌落总数/（CFU/g）</w:t>
            </w:r>
          </w:p>
        </w:tc>
        <w:tc>
          <w:tcPr>
            <w:tcW w:w="3555" w:type="dxa"/>
            <w:vAlign w:val="center"/>
          </w:tcPr>
          <w:p w14:paraId="38986C3D">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1000</w:t>
            </w:r>
          </w:p>
        </w:tc>
      </w:tr>
      <w:tr w14:paraId="61C1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F36F3D5">
            <w:pPr>
              <w:jc w:val="center"/>
              <w:rPr>
                <w:rFonts w:hint="eastAsia" w:ascii="宋体" w:hAnsi="宋体" w:eastAsia="宋体" w:cs="宋体"/>
                <w:color w:val="000000"/>
                <w:sz w:val="18"/>
                <w:szCs w:val="18"/>
              </w:rPr>
            </w:pPr>
          </w:p>
        </w:tc>
        <w:tc>
          <w:tcPr>
            <w:tcW w:w="3246" w:type="dxa"/>
            <w:vAlign w:val="center"/>
          </w:tcPr>
          <w:p w14:paraId="43CBB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霉菌和酵母菌总数/（CFU/g）</w:t>
            </w:r>
          </w:p>
        </w:tc>
        <w:tc>
          <w:tcPr>
            <w:tcW w:w="3555" w:type="dxa"/>
            <w:vAlign w:val="center"/>
          </w:tcPr>
          <w:p w14:paraId="4BEB9152">
            <w:pPr>
              <w:jc w:val="cente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100</w:t>
            </w:r>
          </w:p>
        </w:tc>
      </w:tr>
      <w:tr w14:paraId="0C10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28858E7">
            <w:pPr>
              <w:jc w:val="center"/>
              <w:rPr>
                <w:rFonts w:hint="eastAsia" w:ascii="宋体" w:hAnsi="宋体" w:eastAsia="宋体" w:cs="宋体"/>
                <w:color w:val="000000"/>
                <w:sz w:val="18"/>
                <w:szCs w:val="18"/>
              </w:rPr>
            </w:pPr>
          </w:p>
        </w:tc>
        <w:tc>
          <w:tcPr>
            <w:tcW w:w="3246" w:type="dxa"/>
            <w:vAlign w:val="center"/>
          </w:tcPr>
          <w:p w14:paraId="07451ED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金黄色葡萄球菌/g</w:t>
            </w:r>
          </w:p>
        </w:tc>
        <w:tc>
          <w:tcPr>
            <w:tcW w:w="3555" w:type="dxa"/>
            <w:vAlign w:val="center"/>
          </w:tcPr>
          <w:p w14:paraId="4EE8A8AE">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03C60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D937613">
            <w:pPr>
              <w:jc w:val="center"/>
              <w:rPr>
                <w:rFonts w:hint="eastAsia" w:ascii="宋体" w:hAnsi="宋体" w:eastAsia="宋体" w:cs="宋体"/>
                <w:color w:val="000000"/>
                <w:sz w:val="18"/>
                <w:szCs w:val="18"/>
              </w:rPr>
            </w:pPr>
          </w:p>
        </w:tc>
        <w:tc>
          <w:tcPr>
            <w:tcW w:w="3246" w:type="dxa"/>
            <w:vAlign w:val="center"/>
          </w:tcPr>
          <w:p w14:paraId="514AC72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耐热大肠菌群/g</w:t>
            </w:r>
          </w:p>
        </w:tc>
        <w:tc>
          <w:tcPr>
            <w:tcW w:w="3555" w:type="dxa"/>
            <w:vAlign w:val="center"/>
          </w:tcPr>
          <w:p w14:paraId="74273E9C">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2F1D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B0ED42A">
            <w:pPr>
              <w:jc w:val="center"/>
              <w:rPr>
                <w:rFonts w:hint="eastAsia" w:ascii="宋体" w:hAnsi="宋体" w:eastAsia="宋体" w:cs="宋体"/>
                <w:color w:val="000000"/>
                <w:sz w:val="18"/>
                <w:szCs w:val="18"/>
              </w:rPr>
            </w:pPr>
          </w:p>
        </w:tc>
        <w:tc>
          <w:tcPr>
            <w:tcW w:w="3246" w:type="dxa"/>
            <w:vAlign w:val="center"/>
          </w:tcPr>
          <w:p w14:paraId="6CCA5FE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铜绿假单胞菌/g</w:t>
            </w:r>
          </w:p>
        </w:tc>
        <w:tc>
          <w:tcPr>
            <w:tcW w:w="3555" w:type="dxa"/>
            <w:vAlign w:val="center"/>
          </w:tcPr>
          <w:p w14:paraId="1B0A3388">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7EBB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AC19C5C">
            <w:pPr>
              <w:jc w:val="center"/>
              <w:rPr>
                <w:rFonts w:hint="eastAsia" w:ascii="宋体" w:hAnsi="宋体" w:eastAsia="宋体" w:cs="宋体"/>
                <w:color w:val="000000"/>
                <w:sz w:val="18"/>
                <w:szCs w:val="18"/>
              </w:rPr>
            </w:pPr>
          </w:p>
        </w:tc>
        <w:tc>
          <w:tcPr>
            <w:tcW w:w="3246" w:type="dxa"/>
            <w:vAlign w:val="center"/>
          </w:tcPr>
          <w:p w14:paraId="61F109A9">
            <w:pPr>
              <w:pStyle w:val="27"/>
              <w:ind w:firstLine="0" w:firstLineChars="0"/>
              <w:rPr>
                <w:rFonts w:hint="eastAsia" w:ascii="宋体" w:hAnsi="宋体" w:eastAsia="宋体" w:cs="宋体"/>
                <w:color w:val="000000"/>
                <w:sz w:val="18"/>
                <w:szCs w:val="18"/>
              </w:rPr>
            </w:pPr>
            <w:r>
              <w:rPr>
                <w:rFonts w:hint="eastAsia"/>
              </w:rPr>
              <w:t>铅</w:t>
            </w:r>
            <w:r>
              <w:t>（Pb）/(mg/kg)</w:t>
            </w:r>
          </w:p>
        </w:tc>
        <w:tc>
          <w:tcPr>
            <w:tcW w:w="3555" w:type="dxa"/>
            <w:vAlign w:val="center"/>
          </w:tcPr>
          <w:p w14:paraId="54332D39">
            <w:pPr>
              <w:pStyle w:val="27"/>
              <w:ind w:firstLine="0" w:firstLineChars="0"/>
              <w:rPr>
                <w:rFonts w:hint="eastAsia" w:ascii="宋体" w:hAnsi="宋体" w:eastAsia="宋体" w:cs="宋体"/>
                <w:sz w:val="18"/>
                <w:szCs w:val="18"/>
              </w:rPr>
            </w:pPr>
            <w:r>
              <w:rPr>
                <w:rFonts w:hint="eastAsia"/>
              </w:rPr>
              <w:t>≤5</w:t>
            </w:r>
          </w:p>
        </w:tc>
      </w:tr>
      <w:tr w14:paraId="6C5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3E51CAA">
            <w:pPr>
              <w:jc w:val="center"/>
              <w:rPr>
                <w:rFonts w:hint="eastAsia" w:ascii="宋体" w:hAnsi="宋体" w:eastAsia="宋体" w:cs="宋体"/>
                <w:color w:val="000000"/>
                <w:sz w:val="18"/>
                <w:szCs w:val="18"/>
              </w:rPr>
            </w:pPr>
          </w:p>
        </w:tc>
        <w:tc>
          <w:tcPr>
            <w:tcW w:w="3246" w:type="dxa"/>
            <w:vAlign w:val="center"/>
          </w:tcPr>
          <w:p w14:paraId="13205AAE">
            <w:pPr>
              <w:pStyle w:val="27"/>
              <w:ind w:firstLine="0" w:firstLineChars="0"/>
              <w:rPr>
                <w:rFonts w:hint="eastAsia" w:ascii="宋体" w:hAnsi="宋体" w:eastAsia="宋体" w:cs="宋体"/>
                <w:color w:val="000000"/>
                <w:sz w:val="18"/>
                <w:szCs w:val="18"/>
              </w:rPr>
            </w:pPr>
            <w:r>
              <w:rPr>
                <w:rFonts w:hint="eastAsia"/>
              </w:rPr>
              <w:t>汞</w:t>
            </w:r>
            <w:r>
              <w:t>（As）/(mg/kg)</w:t>
            </w:r>
          </w:p>
        </w:tc>
        <w:tc>
          <w:tcPr>
            <w:tcW w:w="3555" w:type="dxa"/>
            <w:vAlign w:val="center"/>
          </w:tcPr>
          <w:p w14:paraId="27916915">
            <w:pPr>
              <w:pStyle w:val="27"/>
              <w:ind w:firstLine="0" w:firstLineChars="0"/>
              <w:rPr>
                <w:rFonts w:hint="eastAsia" w:ascii="宋体" w:hAnsi="宋体" w:eastAsia="宋体" w:cs="宋体"/>
                <w:color w:val="000000"/>
                <w:sz w:val="18"/>
                <w:szCs w:val="18"/>
              </w:rPr>
            </w:pPr>
            <w:r>
              <w:rPr>
                <w:rFonts w:hint="eastAsia"/>
              </w:rPr>
              <w:t>≤0</w:t>
            </w:r>
            <w:r>
              <w:t>.2</w:t>
            </w:r>
          </w:p>
        </w:tc>
      </w:tr>
      <w:tr w14:paraId="7546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38B9DD9">
            <w:pPr>
              <w:jc w:val="center"/>
              <w:rPr>
                <w:rFonts w:hint="eastAsia" w:ascii="宋体" w:hAnsi="宋体" w:eastAsia="宋体" w:cs="宋体"/>
                <w:color w:val="000000"/>
                <w:sz w:val="18"/>
                <w:szCs w:val="18"/>
              </w:rPr>
            </w:pPr>
          </w:p>
        </w:tc>
        <w:tc>
          <w:tcPr>
            <w:tcW w:w="3246" w:type="dxa"/>
            <w:vAlign w:val="center"/>
          </w:tcPr>
          <w:p w14:paraId="5602195F">
            <w:pPr>
              <w:pStyle w:val="27"/>
              <w:ind w:firstLine="0" w:firstLineChars="0"/>
              <w:rPr>
                <w:rFonts w:hint="eastAsia" w:ascii="宋体" w:hAnsi="宋体" w:eastAsia="宋体" w:cs="宋体"/>
                <w:color w:val="000000"/>
                <w:sz w:val="18"/>
                <w:szCs w:val="18"/>
              </w:rPr>
            </w:pPr>
            <w:r>
              <w:rPr>
                <w:rFonts w:hint="eastAsia"/>
              </w:rPr>
              <w:t>砷</w:t>
            </w:r>
            <w:r>
              <w:t>（Cd）/(mg/kg)</w:t>
            </w:r>
          </w:p>
        </w:tc>
        <w:tc>
          <w:tcPr>
            <w:tcW w:w="3555" w:type="dxa"/>
            <w:vAlign w:val="center"/>
          </w:tcPr>
          <w:p w14:paraId="1659BF7F">
            <w:pPr>
              <w:pStyle w:val="27"/>
              <w:ind w:firstLine="0" w:firstLineChars="0"/>
              <w:rPr>
                <w:rFonts w:hint="eastAsia" w:ascii="宋体" w:hAnsi="宋体" w:eastAsia="宋体" w:cs="宋体"/>
                <w:color w:val="000000"/>
                <w:sz w:val="18"/>
                <w:szCs w:val="18"/>
              </w:rPr>
            </w:pPr>
            <w:r>
              <w:rPr>
                <w:rFonts w:hint="eastAsia"/>
              </w:rPr>
              <w:t>≤2</w:t>
            </w:r>
          </w:p>
        </w:tc>
      </w:tr>
      <w:tr w14:paraId="48132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353FB86">
            <w:pPr>
              <w:jc w:val="center"/>
              <w:rPr>
                <w:rFonts w:hint="eastAsia" w:ascii="宋体" w:hAnsi="宋体" w:eastAsia="宋体" w:cs="宋体"/>
                <w:color w:val="000000"/>
                <w:sz w:val="18"/>
                <w:szCs w:val="18"/>
              </w:rPr>
            </w:pPr>
          </w:p>
        </w:tc>
        <w:tc>
          <w:tcPr>
            <w:tcW w:w="3246" w:type="dxa"/>
            <w:vAlign w:val="center"/>
          </w:tcPr>
          <w:p w14:paraId="214C9C2C">
            <w:pPr>
              <w:pStyle w:val="27"/>
              <w:ind w:firstLine="0" w:firstLineChars="0"/>
              <w:rPr>
                <w:rFonts w:hint="eastAsia" w:ascii="宋体" w:hAnsi="宋体" w:eastAsia="宋体" w:cs="宋体"/>
                <w:color w:val="000000"/>
                <w:sz w:val="18"/>
                <w:szCs w:val="18"/>
              </w:rPr>
            </w:pPr>
            <w:r>
              <w:rPr>
                <w:rFonts w:hint="eastAsia"/>
              </w:rPr>
              <w:t>镉</w:t>
            </w:r>
            <w:r>
              <w:t>（Hg）/(mg/kg)</w:t>
            </w:r>
          </w:p>
        </w:tc>
        <w:tc>
          <w:tcPr>
            <w:tcW w:w="3555" w:type="dxa"/>
            <w:vAlign w:val="center"/>
          </w:tcPr>
          <w:p w14:paraId="628518EC">
            <w:pPr>
              <w:pStyle w:val="27"/>
              <w:ind w:firstLine="0" w:firstLineChars="0"/>
              <w:rPr>
                <w:rFonts w:hint="eastAsia" w:ascii="宋体" w:hAnsi="宋体" w:eastAsia="宋体" w:cs="宋体"/>
                <w:sz w:val="18"/>
                <w:szCs w:val="18"/>
              </w:rPr>
            </w:pPr>
            <w:r>
              <w:rPr>
                <w:rFonts w:hint="eastAsia"/>
              </w:rPr>
              <w:t>≤1</w:t>
            </w:r>
          </w:p>
        </w:tc>
      </w:tr>
      <w:tr w14:paraId="62895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C943FCD">
            <w:pPr>
              <w:jc w:val="center"/>
              <w:rPr>
                <w:rFonts w:hint="eastAsia" w:ascii="宋体" w:hAnsi="宋体" w:eastAsia="宋体" w:cs="宋体"/>
                <w:color w:val="000000"/>
                <w:sz w:val="18"/>
                <w:szCs w:val="18"/>
              </w:rPr>
            </w:pPr>
          </w:p>
        </w:tc>
        <w:tc>
          <w:tcPr>
            <w:tcW w:w="3246" w:type="dxa"/>
            <w:shd w:val="clear" w:color="auto" w:fill="auto"/>
            <w:vAlign w:val="center"/>
          </w:tcPr>
          <w:p w14:paraId="6E0C3C43">
            <w:pPr>
              <w:pStyle w:val="27"/>
              <w:ind w:firstLine="0" w:firstLineChars="0"/>
              <w:rPr>
                <w:rFonts w:hint="eastAsia" w:ascii="宋体" w:hAnsi="Times New Roman" w:eastAsia="宋体" w:cs="Times New Roman"/>
                <w:sz w:val="18"/>
                <w:lang w:val="en-US" w:eastAsia="zh-CN" w:bidi="ar-SA"/>
              </w:rPr>
            </w:pPr>
            <w:r>
              <w:rPr>
                <w:rFonts w:hint="eastAsia"/>
              </w:rPr>
              <w:t>铜</w:t>
            </w:r>
            <w:r>
              <w:t>（</w:t>
            </w:r>
            <w:r>
              <w:rPr>
                <w:rFonts w:hint="eastAsia"/>
              </w:rPr>
              <w:t>Cu</w:t>
            </w:r>
            <w:r>
              <w:t>）/(mg/kg)</w:t>
            </w:r>
          </w:p>
        </w:tc>
        <w:tc>
          <w:tcPr>
            <w:tcW w:w="3555" w:type="dxa"/>
            <w:shd w:val="clear" w:color="auto" w:fill="auto"/>
            <w:vAlign w:val="center"/>
          </w:tcPr>
          <w:p w14:paraId="0C6BDBBB">
            <w:pPr>
              <w:pStyle w:val="27"/>
              <w:ind w:firstLine="0" w:firstLineChars="0"/>
              <w:rPr>
                <w:rFonts w:hint="eastAsia" w:ascii="宋体" w:hAnsi="Times New Roman" w:eastAsia="宋体" w:cs="Times New Roman"/>
                <w:sz w:val="18"/>
                <w:lang w:val="en-US" w:eastAsia="zh-CN" w:bidi="ar-SA"/>
              </w:rPr>
            </w:pPr>
            <w:r>
              <w:rPr>
                <w:rFonts w:hint="eastAsia"/>
              </w:rPr>
              <w:t>≤2</w:t>
            </w:r>
            <w:r>
              <w:t>0</w:t>
            </w:r>
          </w:p>
        </w:tc>
      </w:tr>
      <w:tr w14:paraId="7C3B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A27993B">
            <w:pPr>
              <w:jc w:val="center"/>
              <w:rPr>
                <w:rFonts w:hint="eastAsia" w:ascii="宋体" w:hAnsi="宋体" w:eastAsia="宋体" w:cs="宋体"/>
                <w:color w:val="000000"/>
                <w:sz w:val="18"/>
                <w:szCs w:val="18"/>
              </w:rPr>
            </w:pPr>
          </w:p>
        </w:tc>
        <w:tc>
          <w:tcPr>
            <w:tcW w:w="3246" w:type="dxa"/>
            <w:shd w:val="clear" w:color="auto" w:fill="auto"/>
            <w:vAlign w:val="center"/>
          </w:tcPr>
          <w:p w14:paraId="751BF920">
            <w:pPr>
              <w:pStyle w:val="27"/>
              <w:ind w:firstLine="0" w:firstLineChars="0"/>
              <w:rPr>
                <w:rFonts w:hint="eastAsia" w:ascii="宋体" w:hAnsi="Times New Roman" w:eastAsia="宋体" w:cs="Times New Roman"/>
                <w:sz w:val="18"/>
                <w:lang w:val="en-US" w:eastAsia="zh-CN" w:bidi="ar-SA"/>
              </w:rPr>
            </w:pPr>
            <w:r>
              <w:rPr>
                <w:rFonts w:hint="eastAsia"/>
              </w:rPr>
              <w:t>五氯硝基苯/(mg/kg)</w:t>
            </w:r>
          </w:p>
        </w:tc>
        <w:tc>
          <w:tcPr>
            <w:tcW w:w="3555" w:type="dxa"/>
            <w:shd w:val="clear" w:color="auto" w:fill="auto"/>
            <w:vAlign w:val="center"/>
          </w:tcPr>
          <w:p w14:paraId="09CEDAE9">
            <w:pPr>
              <w:pStyle w:val="27"/>
              <w:ind w:firstLine="0" w:firstLineChars="0"/>
              <w:rPr>
                <w:rFonts w:hint="eastAsia" w:ascii="宋体" w:hAnsi="Times New Roman" w:eastAsia="宋体" w:cs="Times New Roman"/>
                <w:sz w:val="18"/>
                <w:lang w:val="en-US" w:eastAsia="zh-CN" w:bidi="ar-SA"/>
              </w:rPr>
            </w:pPr>
            <w:r>
              <w:rPr>
                <w:rFonts w:hint="eastAsia"/>
              </w:rPr>
              <w:t>≤0</w:t>
            </w:r>
            <w:r>
              <w:t>.1</w:t>
            </w:r>
          </w:p>
        </w:tc>
      </w:tr>
      <w:tr w14:paraId="7898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93860FE">
            <w:pPr>
              <w:jc w:val="center"/>
              <w:rPr>
                <w:rFonts w:hint="eastAsia" w:ascii="宋体" w:hAnsi="宋体" w:eastAsia="宋体" w:cs="宋体"/>
                <w:color w:val="000000"/>
                <w:sz w:val="18"/>
                <w:szCs w:val="18"/>
              </w:rPr>
            </w:pPr>
          </w:p>
        </w:tc>
        <w:tc>
          <w:tcPr>
            <w:tcW w:w="3246" w:type="dxa"/>
            <w:shd w:val="clear" w:color="auto" w:fill="auto"/>
            <w:vAlign w:val="center"/>
          </w:tcPr>
          <w:p w14:paraId="6B625A8E">
            <w:pPr>
              <w:pStyle w:val="27"/>
              <w:ind w:firstLine="0" w:firstLineChars="0"/>
              <w:rPr>
                <w:rFonts w:hint="eastAsia" w:ascii="宋体" w:hAnsi="Times New Roman" w:eastAsia="宋体" w:cs="Times New Roman"/>
                <w:sz w:val="18"/>
                <w:lang w:val="en-US" w:eastAsia="zh-CN" w:bidi="ar-SA"/>
              </w:rPr>
            </w:pPr>
            <w:r>
              <w:rPr>
                <w:rFonts w:hint="eastAsia"/>
              </w:rPr>
              <w:t>六氯苯/(mg/kg)</w:t>
            </w:r>
          </w:p>
        </w:tc>
        <w:tc>
          <w:tcPr>
            <w:tcW w:w="3555" w:type="dxa"/>
            <w:shd w:val="clear" w:color="auto" w:fill="auto"/>
            <w:vAlign w:val="center"/>
          </w:tcPr>
          <w:p w14:paraId="44554509">
            <w:pPr>
              <w:pStyle w:val="27"/>
              <w:ind w:firstLine="0" w:firstLineChars="0"/>
              <w:rPr>
                <w:rFonts w:hint="eastAsia" w:ascii="宋体" w:hAnsi="Times New Roman" w:eastAsia="宋体" w:cs="Times New Roman"/>
                <w:sz w:val="18"/>
                <w:lang w:val="en-US" w:eastAsia="zh-CN" w:bidi="ar-SA"/>
              </w:rPr>
            </w:pPr>
            <w:r>
              <w:rPr>
                <w:rFonts w:hint="eastAsia"/>
              </w:rPr>
              <w:t>≤0</w:t>
            </w:r>
            <w:r>
              <w:t>.1</w:t>
            </w:r>
          </w:p>
        </w:tc>
      </w:tr>
      <w:tr w14:paraId="013E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4AB19BAC">
            <w:pPr>
              <w:jc w:val="center"/>
              <w:rPr>
                <w:rFonts w:hint="eastAsia" w:ascii="宋体" w:hAnsi="宋体" w:eastAsia="宋体" w:cs="宋体"/>
                <w:color w:val="000000"/>
                <w:sz w:val="18"/>
                <w:szCs w:val="18"/>
              </w:rPr>
            </w:pPr>
          </w:p>
        </w:tc>
        <w:tc>
          <w:tcPr>
            <w:tcW w:w="3246" w:type="dxa"/>
            <w:shd w:val="clear" w:color="auto" w:fill="auto"/>
            <w:vAlign w:val="center"/>
          </w:tcPr>
          <w:p w14:paraId="3AB52FEF">
            <w:pPr>
              <w:pStyle w:val="27"/>
              <w:ind w:firstLine="0" w:firstLineChars="0"/>
              <w:rPr>
                <w:rFonts w:hint="eastAsia" w:ascii="宋体" w:hAnsi="Times New Roman" w:eastAsia="宋体" w:cs="Times New Roman"/>
                <w:sz w:val="18"/>
                <w:lang w:val="en-US" w:eastAsia="zh-CN" w:bidi="ar-SA"/>
              </w:rPr>
            </w:pPr>
            <w:r>
              <w:rPr>
                <w:rFonts w:hint="eastAsia"/>
              </w:rPr>
              <w:t>七氯（七氯、环氧七氯之和）/(mg/kg)</w:t>
            </w:r>
          </w:p>
        </w:tc>
        <w:tc>
          <w:tcPr>
            <w:tcW w:w="3555" w:type="dxa"/>
            <w:shd w:val="clear" w:color="auto" w:fill="auto"/>
            <w:vAlign w:val="center"/>
          </w:tcPr>
          <w:p w14:paraId="53EEC155">
            <w:pPr>
              <w:pStyle w:val="27"/>
              <w:ind w:firstLine="0" w:firstLineChars="0"/>
              <w:rPr>
                <w:rFonts w:hint="eastAsia" w:ascii="宋体" w:hAnsi="Times New Roman" w:eastAsia="宋体" w:cs="Times New Roman"/>
                <w:sz w:val="18"/>
                <w:lang w:val="en-US" w:eastAsia="zh-CN" w:bidi="ar-SA"/>
              </w:rPr>
            </w:pPr>
            <w:r>
              <w:rPr>
                <w:rFonts w:hint="eastAsia"/>
              </w:rPr>
              <w:t>≤0</w:t>
            </w:r>
            <w:r>
              <w:t>.05</w:t>
            </w:r>
          </w:p>
        </w:tc>
      </w:tr>
      <w:tr w14:paraId="4CAD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186A74DB">
            <w:pPr>
              <w:jc w:val="center"/>
              <w:rPr>
                <w:rFonts w:hint="eastAsia" w:ascii="宋体" w:hAnsi="宋体" w:eastAsia="宋体" w:cs="宋体"/>
                <w:color w:val="000000"/>
                <w:sz w:val="18"/>
                <w:szCs w:val="18"/>
              </w:rPr>
            </w:pPr>
          </w:p>
        </w:tc>
        <w:tc>
          <w:tcPr>
            <w:tcW w:w="3246" w:type="dxa"/>
            <w:shd w:val="clear" w:color="auto" w:fill="auto"/>
            <w:vAlign w:val="center"/>
          </w:tcPr>
          <w:p w14:paraId="11DC4769">
            <w:pPr>
              <w:pStyle w:val="27"/>
              <w:ind w:firstLine="0" w:firstLineChars="0"/>
              <w:rPr>
                <w:rFonts w:hint="eastAsia" w:ascii="宋体" w:hAnsi="Times New Roman" w:eastAsia="宋体" w:cs="Times New Roman"/>
                <w:sz w:val="18"/>
                <w:lang w:val="en-US" w:eastAsia="zh-CN" w:bidi="ar-SA"/>
              </w:rPr>
            </w:pPr>
            <w:r>
              <w:rPr>
                <w:rFonts w:hint="eastAsia"/>
              </w:rPr>
              <w:t>氯 丹（顺式氯丹、反式氯丹、氧化氯丹之和）/(mg/kg)</w:t>
            </w:r>
          </w:p>
        </w:tc>
        <w:tc>
          <w:tcPr>
            <w:tcW w:w="3555" w:type="dxa"/>
            <w:shd w:val="clear" w:color="auto" w:fill="auto"/>
            <w:vAlign w:val="center"/>
          </w:tcPr>
          <w:p w14:paraId="1EDDBC5A">
            <w:pPr>
              <w:pStyle w:val="27"/>
              <w:ind w:firstLine="0" w:firstLineChars="0"/>
              <w:rPr>
                <w:rFonts w:hint="eastAsia" w:ascii="宋体" w:hAnsi="Times New Roman" w:eastAsia="宋体" w:cs="Times New Roman"/>
                <w:sz w:val="18"/>
                <w:lang w:val="en-US" w:eastAsia="zh-CN" w:bidi="ar-SA"/>
              </w:rPr>
            </w:pPr>
            <w:r>
              <w:rPr>
                <w:rFonts w:hint="eastAsia"/>
              </w:rPr>
              <w:t>≤0</w:t>
            </w:r>
            <w:r>
              <w:t>.1</w:t>
            </w:r>
          </w:p>
        </w:tc>
      </w:tr>
      <w:tr w14:paraId="326E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A2D5ABC">
            <w:pPr>
              <w:jc w:val="center"/>
              <w:rPr>
                <w:rFonts w:hint="eastAsia" w:ascii="宋体" w:hAnsi="宋体" w:eastAsia="宋体" w:cs="宋体"/>
                <w:color w:val="000000"/>
                <w:sz w:val="18"/>
                <w:szCs w:val="18"/>
              </w:rPr>
            </w:pPr>
          </w:p>
        </w:tc>
        <w:tc>
          <w:tcPr>
            <w:tcW w:w="3246" w:type="dxa"/>
            <w:shd w:val="clear" w:color="auto" w:fill="auto"/>
            <w:vAlign w:val="center"/>
          </w:tcPr>
          <w:p w14:paraId="617E0B17">
            <w:pPr>
              <w:pStyle w:val="27"/>
              <w:ind w:firstLine="0" w:firstLineChars="0"/>
              <w:rPr>
                <w:rFonts w:hint="eastAsia" w:ascii="宋体" w:hAnsi="Times New Roman" w:eastAsia="宋体" w:cs="Times New Roman"/>
                <w:sz w:val="18"/>
                <w:lang w:val="en-US" w:eastAsia="zh-CN" w:bidi="ar-SA"/>
              </w:rPr>
            </w:pPr>
            <w:r>
              <w:rPr>
                <w:rFonts w:hint="eastAsia"/>
              </w:rPr>
              <w:t>乙醇（%）</w:t>
            </w:r>
          </w:p>
        </w:tc>
        <w:tc>
          <w:tcPr>
            <w:tcW w:w="3555" w:type="dxa"/>
            <w:shd w:val="clear" w:color="auto" w:fill="auto"/>
            <w:vAlign w:val="center"/>
          </w:tcPr>
          <w:p w14:paraId="58410530">
            <w:pPr>
              <w:pStyle w:val="27"/>
              <w:ind w:firstLine="0" w:firstLineChars="0"/>
              <w:rPr>
                <w:rFonts w:hint="eastAsia" w:ascii="宋体" w:hAnsi="Times New Roman" w:eastAsia="宋体" w:cs="Times New Roman"/>
                <w:sz w:val="18"/>
                <w:lang w:val="en-US" w:eastAsia="zh-CN" w:bidi="ar-SA"/>
              </w:rPr>
            </w:pPr>
            <w:r>
              <w:rPr>
                <w:rFonts w:hint="eastAsia"/>
              </w:rPr>
              <w:t>≤0</w:t>
            </w:r>
            <w:r>
              <w:t>.5</w:t>
            </w:r>
          </w:p>
        </w:tc>
      </w:tr>
    </w:tbl>
    <w:p w14:paraId="43693B5F">
      <w:pPr>
        <w:pStyle w:val="21"/>
        <w:numPr>
          <w:ilvl w:val="1"/>
          <w:numId w:val="0"/>
        </w:numPr>
        <w:spacing w:before="312" w:after="312"/>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　</w:t>
      </w:r>
      <w:r>
        <w:rPr>
          <w:rFonts w:hint="eastAsia"/>
        </w:rPr>
        <w:t>检验方法</w:t>
      </w:r>
    </w:p>
    <w:p w14:paraId="18175169">
      <w:pPr>
        <w:pStyle w:val="23"/>
        <w:numPr>
          <w:ilvl w:val="2"/>
          <w:numId w:val="0"/>
        </w:numPr>
        <w:spacing w:before="156" w:after="156"/>
        <w:ind w:left="0" w:leftChars="0" w:firstLine="0" w:firstLineChars="0"/>
        <w:rPr>
          <w:rFonts w:hint="default"/>
          <w:lang w:val="en-US"/>
        </w:rPr>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rPr>
        <w:t>感官</w:t>
      </w:r>
      <w:r>
        <w:rPr>
          <w:rFonts w:hint="eastAsia"/>
          <w:lang w:val="en-US" w:eastAsia="zh-CN"/>
        </w:rPr>
        <w:t>指标判定</w:t>
      </w:r>
    </w:p>
    <w:p w14:paraId="369F8173">
      <w:pPr>
        <w:pStyle w:val="19"/>
        <w:spacing w:line="360" w:lineRule="auto"/>
        <w:ind w:firstLine="420"/>
        <w:rPr>
          <w:rFonts w:hint="eastAsia"/>
        </w:rPr>
      </w:pPr>
      <w:r>
        <w:rPr>
          <w:rFonts w:hint="eastAsia"/>
        </w:rPr>
        <w:t>启开试样后，立即嗅其气味；另取试样适量置于白色瓷盘中，在自然光线下，观察其色泽、外观，并检查有无异物。</w:t>
      </w:r>
    </w:p>
    <w:p w14:paraId="734EAF42">
      <w:pPr>
        <w:pStyle w:val="23"/>
        <w:numPr>
          <w:ilvl w:val="2"/>
          <w:numId w:val="0"/>
        </w:numPr>
        <w:spacing w:before="156" w:after="156"/>
        <w:ind w:left="0" w:leftChars="0" w:firstLine="0" w:firstLineChars="0"/>
        <w:rPr>
          <w:rFonts w:hint="default"/>
          <w:lang w:val="en-US"/>
        </w:rPr>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rPr>
        <w:t>理化</w:t>
      </w:r>
      <w:r>
        <w:rPr>
          <w:rFonts w:hint="eastAsia"/>
          <w:lang w:val="en-US" w:eastAsia="zh-CN"/>
        </w:rPr>
        <w:t>指标判定</w:t>
      </w:r>
    </w:p>
    <w:p w14:paraId="3DAAA871">
      <w:pPr>
        <w:pStyle w:val="25"/>
        <w:numPr>
          <w:ilvl w:val="3"/>
          <w:numId w:val="0"/>
        </w:numPr>
        <w:spacing w:before="156" w:after="156"/>
        <w:ind w:left="0" w:leftChars="0" w:firstLine="0" w:firstLineChars="0"/>
        <w:rPr>
          <w:rFonts w:hint="default" w:eastAsia="黑体"/>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.2.1　</w:t>
      </w:r>
      <w:r>
        <w:rPr>
          <w:rFonts w:hint="eastAsia"/>
        </w:rPr>
        <w:t>水分</w:t>
      </w:r>
      <w:r>
        <w:rPr>
          <w:rFonts w:hint="eastAsia"/>
          <w:lang w:val="en-US" w:eastAsia="zh-CN"/>
        </w:rPr>
        <w:t>的测定</w:t>
      </w:r>
    </w:p>
    <w:p w14:paraId="7C246047">
      <w:pPr>
        <w:pStyle w:val="19"/>
        <w:spacing w:line="360" w:lineRule="auto"/>
        <w:ind w:firstLine="420"/>
        <w:rPr>
          <w:rFonts w:hint="eastAsia"/>
        </w:rPr>
      </w:pPr>
      <w:r>
        <w:rPr>
          <w:rFonts w:hint="eastAsia"/>
        </w:rPr>
        <w:t>按《中华人民共和国药典（2020</w:t>
      </w:r>
      <w:r>
        <w:rPr>
          <w:rFonts w:hint="eastAsia"/>
          <w:lang w:val="en-US" w:eastAsia="zh-CN"/>
        </w:rPr>
        <w:t>年</w:t>
      </w:r>
      <w:r>
        <w:rPr>
          <w:rFonts w:hint="eastAsia"/>
        </w:rPr>
        <w:t>版）》四部 通则0831中规定的方法测定。</w:t>
      </w:r>
    </w:p>
    <w:p w14:paraId="30B199B8">
      <w:pPr>
        <w:pStyle w:val="25"/>
        <w:numPr>
          <w:ilvl w:val="3"/>
          <w:numId w:val="0"/>
        </w:numPr>
        <w:spacing w:before="156" w:after="156"/>
        <w:ind w:left="0" w:leftChars="0" w:firstLine="0" w:firstLineChars="0"/>
        <w:rPr>
          <w:rFonts w:hint="default" w:eastAsia="黑体"/>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.2.2　</w:t>
      </w:r>
      <w:r>
        <w:rPr>
          <w:rFonts w:hint="eastAsia"/>
        </w:rPr>
        <w:t>人参皂苷Rg</w:t>
      </w:r>
      <w:r>
        <w:t>3</w:t>
      </w:r>
      <w:r>
        <w:rPr>
          <w:rFonts w:hint="eastAsia"/>
        </w:rPr>
        <w:t>含量</w:t>
      </w:r>
      <w:r>
        <w:rPr>
          <w:rFonts w:hint="eastAsia"/>
          <w:lang w:val="en-US" w:eastAsia="zh-CN"/>
        </w:rPr>
        <w:t>的测定</w:t>
      </w:r>
    </w:p>
    <w:p w14:paraId="433A1484">
      <w:pPr>
        <w:pStyle w:val="19"/>
        <w:spacing w:line="360" w:lineRule="auto"/>
        <w:ind w:firstLine="420"/>
        <w:rPr>
          <w:rFonts w:hint="eastAsia"/>
        </w:rPr>
      </w:pPr>
      <w:r>
        <w:rPr>
          <w:rFonts w:hint="eastAsia"/>
        </w:rPr>
        <w:t>按附录A中规定的方法进行测定。</w:t>
      </w:r>
    </w:p>
    <w:p w14:paraId="16E108E8">
      <w:pPr>
        <w:pStyle w:val="25"/>
        <w:numPr>
          <w:ilvl w:val="3"/>
          <w:numId w:val="0"/>
        </w:numPr>
        <w:spacing w:before="156" w:after="156"/>
        <w:ind w:left="0" w:leftChars="0" w:firstLine="0" w:firstLineChars="0"/>
        <w:rPr>
          <w:rFonts w:hint="default" w:eastAsia="黑体"/>
          <w:highlight w:val="none"/>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.2.3　</w:t>
      </w:r>
      <w:r>
        <w:rPr>
          <w:rFonts w:hint="eastAsia"/>
          <w:highlight w:val="none"/>
        </w:rPr>
        <w:t>人参总多糖含量</w:t>
      </w:r>
      <w:r>
        <w:rPr>
          <w:rFonts w:hint="eastAsia"/>
          <w:highlight w:val="none"/>
          <w:lang w:val="en-US" w:eastAsia="zh-CN"/>
        </w:rPr>
        <w:t>的测定</w:t>
      </w:r>
    </w:p>
    <w:p w14:paraId="50277C11">
      <w:pPr>
        <w:pStyle w:val="19"/>
        <w:spacing w:line="360" w:lineRule="auto"/>
        <w:ind w:firstLine="420"/>
        <w:rPr>
          <w:rFonts w:hint="eastAsia" w:eastAsia="宋体"/>
          <w:lang w:eastAsia="zh-CN"/>
        </w:rPr>
      </w:pPr>
      <w:r>
        <w:rPr>
          <w:rFonts w:hint="eastAsia"/>
        </w:rPr>
        <w:t>按</w:t>
      </w:r>
      <w:r>
        <w:rPr>
          <w:rFonts w:hint="eastAsia" w:ascii="宋体" w:hAnsi="Times New Roman" w:eastAsia="宋体" w:cs="Times New Roman"/>
          <w:sz w:val="21"/>
          <w:szCs w:val="20"/>
        </w:rPr>
        <w:t>《中华人民共和国药典（2020版）》一部 药材和饮片 枸杞子</w:t>
      </w:r>
      <w:r>
        <w:rPr>
          <w:rFonts w:hint="eastAsia" w:cs="Times New Roman"/>
          <w:sz w:val="21"/>
          <w:szCs w:val="20"/>
          <w:lang w:val="en-US" w:eastAsia="zh-CN"/>
        </w:rPr>
        <w:t>中规定的</w:t>
      </w:r>
      <w:r>
        <w:rPr>
          <w:rFonts w:hint="eastAsia"/>
          <w:lang w:val="en-US" w:eastAsia="zh-CN"/>
        </w:rPr>
        <w:t>方法</w:t>
      </w:r>
      <w:r>
        <w:rPr>
          <w:rFonts w:hint="eastAsia"/>
        </w:rPr>
        <w:t>测定。</w:t>
      </w:r>
    </w:p>
    <w:p w14:paraId="6F4E4256">
      <w:pPr>
        <w:pStyle w:val="25"/>
        <w:numPr>
          <w:ilvl w:val="3"/>
          <w:numId w:val="0"/>
        </w:numPr>
        <w:spacing w:before="156" w:after="156"/>
        <w:ind w:left="0" w:leftChars="0" w:firstLine="0" w:firstLineChars="0"/>
        <w:rPr>
          <w:rFonts w:hint="default" w:eastAsia="黑体"/>
          <w:highlight w:val="none"/>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.2.4　</w:t>
      </w:r>
      <w:r>
        <w:rPr>
          <w:rFonts w:hint="eastAsia"/>
          <w:highlight w:val="none"/>
        </w:rPr>
        <w:t>人参总皂苷含量</w:t>
      </w:r>
      <w:r>
        <w:rPr>
          <w:rFonts w:hint="eastAsia"/>
          <w:highlight w:val="none"/>
          <w:lang w:val="en-US" w:eastAsia="zh-CN"/>
        </w:rPr>
        <w:t>的测定</w:t>
      </w:r>
    </w:p>
    <w:p w14:paraId="622FABFD">
      <w:pPr>
        <w:pStyle w:val="19"/>
        <w:spacing w:line="360" w:lineRule="auto"/>
        <w:ind w:firstLine="420"/>
        <w:rPr>
          <w:rFonts w:hint="eastAsia"/>
        </w:rPr>
      </w:pPr>
      <w:r>
        <w:rPr>
          <w:rFonts w:hint="eastAsia"/>
        </w:rPr>
        <w:t>按</w:t>
      </w:r>
      <w:r>
        <w:rPr>
          <w:rFonts w:hint="eastAsia" w:ascii="宋体" w:hAnsi="Times New Roman" w:eastAsia="宋体" w:cs="Times New Roman"/>
          <w:sz w:val="21"/>
          <w:szCs w:val="20"/>
        </w:rPr>
        <w:t>《中华人民共和国药典（2020版）》一部</w:t>
      </w:r>
      <w:r>
        <w:rPr>
          <w:rFonts w:hint="eastAsia" w:cs="Times New Roman"/>
          <w:sz w:val="21"/>
          <w:szCs w:val="20"/>
          <w:lang w:val="en-US" w:eastAsia="zh-CN"/>
        </w:rPr>
        <w:t xml:space="preserve"> </w:t>
      </w:r>
      <w:r>
        <w:rPr>
          <w:rFonts w:hint="eastAsia" w:ascii="宋体" w:hAnsi="Times New Roman" w:eastAsia="宋体" w:cs="Times New Roman"/>
          <w:sz w:val="21"/>
          <w:szCs w:val="20"/>
        </w:rPr>
        <w:t xml:space="preserve">植物油脂和提取物 </w:t>
      </w:r>
      <w:r>
        <w:rPr>
          <w:rFonts w:hint="eastAsia" w:ascii="宋体" w:hAnsi="Times New Roman" w:eastAsia="宋体" w:cs="Times New Roman"/>
          <w:sz w:val="21"/>
          <w:szCs w:val="20"/>
          <w:lang w:val="en-US" w:eastAsia="zh-CN"/>
        </w:rPr>
        <w:t>人参</w:t>
      </w:r>
      <w:r>
        <w:rPr>
          <w:rFonts w:hint="eastAsia" w:ascii="宋体" w:hAnsi="Times New Roman" w:eastAsia="宋体" w:cs="Times New Roman"/>
          <w:sz w:val="21"/>
          <w:szCs w:val="20"/>
        </w:rPr>
        <w:t>总皂苷</w:t>
      </w:r>
      <w:r>
        <w:rPr>
          <w:rFonts w:hint="eastAsia" w:cs="Times New Roman"/>
          <w:sz w:val="21"/>
          <w:szCs w:val="20"/>
          <w:lang w:val="en-US" w:eastAsia="zh-CN"/>
        </w:rPr>
        <w:t>中规定的方法</w:t>
      </w:r>
      <w:r>
        <w:rPr>
          <w:rFonts w:hint="eastAsia"/>
        </w:rPr>
        <w:t>测定。</w:t>
      </w:r>
    </w:p>
    <w:p w14:paraId="35FD68FC">
      <w:pPr>
        <w:pStyle w:val="23"/>
        <w:numPr>
          <w:ilvl w:val="2"/>
          <w:numId w:val="0"/>
        </w:numPr>
        <w:spacing w:before="156" w:after="156"/>
        <w:ind w:left="0" w:leftChars="0" w:firstLine="0" w:firstLineChars="0"/>
        <w:rPr>
          <w:rFonts w:hint="default" w:eastAsia="黑体"/>
          <w:lang w:val="en-US" w:eastAsia="zh-CN"/>
        </w:rPr>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微生物及</w:t>
      </w:r>
      <w:r>
        <w:rPr>
          <w:rFonts w:hint="eastAsia"/>
        </w:rPr>
        <w:t>有害物质</w:t>
      </w:r>
      <w:r>
        <w:rPr>
          <w:rFonts w:hint="eastAsia"/>
          <w:lang w:val="en-US" w:eastAsia="zh-CN"/>
        </w:rPr>
        <w:t>指标的判定</w:t>
      </w:r>
    </w:p>
    <w:p w14:paraId="0BE3824D">
      <w:pPr>
        <w:pStyle w:val="25"/>
        <w:numPr>
          <w:ilvl w:val="3"/>
          <w:numId w:val="0"/>
        </w:numPr>
        <w:spacing w:before="156" w:after="156"/>
        <w:ind w:left="0" w:leftChars="0" w:firstLine="0" w:firstLineChars="0"/>
        <w:rPr>
          <w:rFonts w:hint="eastAsia" w:cs="Times New Roman"/>
          <w:b w:val="0"/>
          <w:i w:val="0"/>
          <w:sz w:val="21"/>
          <w:lang w:val="en-US" w:eastAsia="zh-CN" w:bidi="ar-SA"/>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.3.1</w:t>
      </w:r>
      <w:r>
        <w:rPr>
          <w:rFonts w:hint="eastAsia" w:cs="Times New Roman"/>
          <w:b w:val="0"/>
          <w:i w:val="0"/>
          <w:sz w:val="21"/>
          <w:lang w:val="en-US" w:eastAsia="zh-CN" w:bidi="ar-SA"/>
        </w:rPr>
        <w:t xml:space="preserve"> 微生物指标的测定</w:t>
      </w:r>
    </w:p>
    <w:p w14:paraId="70CB3DD9">
      <w:pPr>
        <w:pStyle w:val="19"/>
        <w:rPr>
          <w:rFonts w:hint="default"/>
          <w:lang w:val="en-US" w:eastAsia="zh-CN"/>
        </w:rPr>
      </w:pPr>
      <w:r>
        <w:rPr>
          <w:rFonts w:hint="default" w:ascii="宋体" w:hAnsi="宋体" w:eastAsia="宋体" w:cs="宋体"/>
          <w:kern w:val="2"/>
          <w:sz w:val="21"/>
          <w:szCs w:val="21"/>
          <w:lang w:val="en-US" w:eastAsia="zh-CN" w:bidi="ar-SA"/>
        </w:rPr>
        <w:t>按《化妆品安全技术规范》</w:t>
      </w:r>
      <w:r>
        <w:rPr>
          <w:rFonts w:hint="eastAsia" w:ascii="宋体" w:hAnsi="宋体" w:cs="宋体"/>
          <w:kern w:val="2"/>
          <w:sz w:val="21"/>
          <w:szCs w:val="21"/>
          <w:lang w:val="en-US" w:eastAsia="zh-CN" w:bidi="ar-SA"/>
        </w:rPr>
        <w:t>（2015年版）</w:t>
      </w:r>
      <w:r>
        <w:rPr>
          <w:rFonts w:hint="default" w:ascii="宋体" w:hAnsi="宋体" w:eastAsia="宋体" w:cs="宋体"/>
          <w:kern w:val="2"/>
          <w:sz w:val="21"/>
          <w:szCs w:val="21"/>
          <w:lang w:val="en-US" w:eastAsia="zh-CN" w:bidi="ar-SA"/>
        </w:rPr>
        <w:t>中规定的方法检测。</w:t>
      </w:r>
    </w:p>
    <w:p w14:paraId="1DA55D08">
      <w:pPr>
        <w:pStyle w:val="25"/>
        <w:numPr>
          <w:ilvl w:val="3"/>
          <w:numId w:val="0"/>
        </w:numPr>
        <w:spacing w:before="156" w:after="156"/>
        <w:ind w:left="0" w:leftChars="0" w:firstLine="0" w:firstLineChars="0"/>
      </w:pPr>
      <w:r>
        <w:rPr>
          <w:rFonts w:hint="eastAsia"/>
          <w:lang w:val="en-US" w:eastAsia="zh-CN"/>
        </w:rPr>
        <w:t xml:space="preserve">6.3.2 </w:t>
      </w:r>
      <w:r>
        <w:rPr>
          <w:rFonts w:hint="eastAsia"/>
        </w:rPr>
        <w:t>铅</w:t>
      </w:r>
    </w:p>
    <w:p w14:paraId="5F58A508">
      <w:pPr>
        <w:pStyle w:val="19"/>
        <w:spacing w:line="360" w:lineRule="auto"/>
        <w:ind w:firstLine="420"/>
        <w:rPr>
          <w:rFonts w:hint="eastAsia"/>
        </w:rPr>
      </w:pPr>
      <w:r>
        <w:rPr>
          <w:rFonts w:hint="eastAsia"/>
        </w:rPr>
        <w:t>按《化妆品安全技术规范》</w:t>
      </w:r>
      <w:r>
        <w:rPr>
          <w:rFonts w:hint="eastAsia" w:ascii="宋体" w:hAnsi="宋体" w:cs="宋体"/>
          <w:kern w:val="2"/>
          <w:sz w:val="21"/>
          <w:szCs w:val="21"/>
          <w:lang w:val="en-US" w:eastAsia="zh-CN" w:bidi="ar-SA"/>
        </w:rPr>
        <w:t>（2015年版）</w:t>
      </w:r>
      <w:r>
        <w:rPr>
          <w:rFonts w:hint="eastAsia"/>
        </w:rPr>
        <w:t>第四章1.3中规定的方法检测。</w:t>
      </w:r>
    </w:p>
    <w:p w14:paraId="08F59B50">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.3.2</w:t>
      </w:r>
      <w:r>
        <w:rPr>
          <w:rFonts w:hint="eastAsia" w:cs="Times New Roman"/>
          <w:b w:val="0"/>
          <w:i w:val="0"/>
          <w:sz w:val="21"/>
          <w:lang w:val="en-US" w:eastAsia="zh-CN" w:bidi="ar-SA"/>
        </w:rPr>
        <w:t xml:space="preserve"> </w:t>
      </w:r>
      <w:r>
        <w:rPr>
          <w:rFonts w:hint="eastAsia"/>
        </w:rPr>
        <w:t>汞</w:t>
      </w:r>
    </w:p>
    <w:p w14:paraId="544B6B39">
      <w:pPr>
        <w:pStyle w:val="19"/>
        <w:spacing w:line="360" w:lineRule="auto"/>
        <w:ind w:firstLine="420"/>
        <w:rPr>
          <w:rFonts w:hint="eastAsia"/>
        </w:rPr>
      </w:pPr>
      <w:r>
        <w:rPr>
          <w:rFonts w:hint="eastAsia"/>
        </w:rPr>
        <w:t>按《化妆品安全技术规范》</w:t>
      </w:r>
      <w:r>
        <w:rPr>
          <w:rFonts w:hint="eastAsia" w:ascii="宋体" w:hAnsi="宋体" w:cs="宋体"/>
          <w:kern w:val="2"/>
          <w:sz w:val="21"/>
          <w:szCs w:val="21"/>
          <w:lang w:val="en-US" w:eastAsia="zh-CN" w:bidi="ar-SA"/>
        </w:rPr>
        <w:t>（2015年版）</w:t>
      </w:r>
      <w:r>
        <w:rPr>
          <w:rFonts w:hint="eastAsia"/>
        </w:rPr>
        <w:t>第四章1.2中规定的方法检测。</w:t>
      </w:r>
    </w:p>
    <w:p w14:paraId="7ACE265B">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.3.3</w:t>
      </w:r>
      <w:r>
        <w:rPr>
          <w:rFonts w:hint="eastAsia" w:cs="Times New Roman"/>
          <w:b w:val="0"/>
          <w:i w:val="0"/>
          <w:sz w:val="21"/>
          <w:lang w:val="en-US" w:eastAsia="zh-CN" w:bidi="ar-SA"/>
        </w:rPr>
        <w:t xml:space="preserve"> </w:t>
      </w:r>
      <w:r>
        <w:rPr>
          <w:rFonts w:hint="eastAsia"/>
        </w:rPr>
        <w:t>砷</w:t>
      </w:r>
    </w:p>
    <w:p w14:paraId="5336B694">
      <w:pPr>
        <w:pStyle w:val="19"/>
        <w:spacing w:line="360" w:lineRule="auto"/>
        <w:ind w:firstLine="420"/>
        <w:rPr>
          <w:rFonts w:hint="eastAsia"/>
        </w:rPr>
      </w:pPr>
      <w:r>
        <w:rPr>
          <w:rFonts w:hint="eastAsia"/>
        </w:rPr>
        <w:t>按《化妆品安全技术规范》</w:t>
      </w:r>
      <w:r>
        <w:rPr>
          <w:rFonts w:hint="eastAsia" w:ascii="宋体" w:hAnsi="宋体" w:cs="宋体"/>
          <w:kern w:val="2"/>
          <w:sz w:val="21"/>
          <w:szCs w:val="21"/>
          <w:lang w:val="en-US" w:eastAsia="zh-CN" w:bidi="ar-SA"/>
        </w:rPr>
        <w:t>（2015年版）</w:t>
      </w:r>
      <w:r>
        <w:rPr>
          <w:rFonts w:hint="eastAsia"/>
        </w:rPr>
        <w:t>第四章1.4中规定的方法检测。</w:t>
      </w:r>
    </w:p>
    <w:p w14:paraId="14399737">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.3.4</w:t>
      </w:r>
      <w:r>
        <w:rPr>
          <w:rFonts w:hint="eastAsia" w:cs="Times New Roman"/>
          <w:b w:val="0"/>
          <w:i w:val="0"/>
          <w:sz w:val="21"/>
          <w:lang w:val="en-US" w:eastAsia="zh-CN" w:bidi="ar-SA"/>
        </w:rPr>
        <w:t xml:space="preserve"> </w:t>
      </w:r>
      <w:r>
        <w:rPr>
          <w:rFonts w:hint="eastAsia"/>
        </w:rPr>
        <w:t>镉</w:t>
      </w:r>
    </w:p>
    <w:p w14:paraId="597B5074">
      <w:pPr>
        <w:pStyle w:val="19"/>
        <w:spacing w:line="360" w:lineRule="auto"/>
        <w:ind w:firstLine="420"/>
        <w:rPr>
          <w:rFonts w:hint="eastAsia"/>
        </w:rPr>
      </w:pPr>
      <w:r>
        <w:rPr>
          <w:rFonts w:hint="eastAsia"/>
        </w:rPr>
        <w:t>按《化妆品安全技术规范》</w:t>
      </w:r>
      <w:r>
        <w:rPr>
          <w:rFonts w:hint="eastAsia" w:ascii="宋体" w:hAnsi="宋体" w:cs="宋体"/>
          <w:kern w:val="2"/>
          <w:sz w:val="21"/>
          <w:szCs w:val="21"/>
          <w:lang w:val="en-US" w:eastAsia="zh-CN" w:bidi="ar-SA"/>
        </w:rPr>
        <w:t>（2015年版）</w:t>
      </w:r>
      <w:r>
        <w:rPr>
          <w:rFonts w:hint="eastAsia"/>
        </w:rPr>
        <w:t>第四章1.5中规定的方法检测。</w:t>
      </w:r>
    </w:p>
    <w:p w14:paraId="33A01616">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.3.5</w:t>
      </w:r>
      <w:r>
        <w:rPr>
          <w:rFonts w:hint="eastAsia" w:cs="Times New Roman"/>
          <w:b w:val="0"/>
          <w:i w:val="0"/>
          <w:sz w:val="21"/>
          <w:lang w:val="en-US" w:eastAsia="zh-CN" w:bidi="ar-SA"/>
        </w:rPr>
        <w:t xml:space="preserve"> </w:t>
      </w:r>
      <w:r>
        <w:rPr>
          <w:rFonts w:hint="eastAsia"/>
        </w:rPr>
        <w:t>铜</w:t>
      </w:r>
    </w:p>
    <w:p w14:paraId="4E6566D0">
      <w:pPr>
        <w:pStyle w:val="19"/>
        <w:spacing w:line="360" w:lineRule="auto"/>
        <w:ind w:firstLine="420"/>
        <w:rPr>
          <w:rFonts w:hint="eastAsia"/>
        </w:rPr>
      </w:pPr>
      <w:r>
        <w:rPr>
          <w:rFonts w:hint="eastAsia"/>
        </w:rPr>
        <w:t>按《化妆品安全技术规范》</w:t>
      </w:r>
      <w:r>
        <w:rPr>
          <w:rFonts w:hint="eastAsia" w:ascii="宋体" w:hAnsi="宋体" w:cs="宋体"/>
          <w:kern w:val="2"/>
          <w:sz w:val="21"/>
          <w:szCs w:val="21"/>
          <w:lang w:val="en-US" w:eastAsia="zh-CN" w:bidi="ar-SA"/>
        </w:rPr>
        <w:t>（2015年版）</w:t>
      </w:r>
      <w:r>
        <w:rPr>
          <w:rFonts w:hint="eastAsia"/>
        </w:rPr>
        <w:t>第四章1.5中规定的方法检测。</w:t>
      </w:r>
    </w:p>
    <w:p w14:paraId="63E0F5A5">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.3.6</w:t>
      </w:r>
      <w:r>
        <w:rPr>
          <w:rFonts w:hint="eastAsia" w:cs="Times New Roman"/>
          <w:b w:val="0"/>
          <w:i w:val="0"/>
          <w:sz w:val="21"/>
          <w:lang w:val="en-US" w:eastAsia="zh-CN" w:bidi="ar-SA"/>
        </w:rPr>
        <w:t xml:space="preserve"> </w:t>
      </w:r>
      <w:r>
        <w:rPr>
          <w:rFonts w:hint="eastAsia"/>
        </w:rPr>
        <w:t>五氯硝基苯、六氯苯、七氯（七氯、环氧七氯之和）、氯 丹（顺式氯丹、反式氯丹、氧化氯丹之和）</w:t>
      </w:r>
    </w:p>
    <w:p w14:paraId="20844589">
      <w:pPr>
        <w:pStyle w:val="19"/>
        <w:spacing w:line="360" w:lineRule="auto"/>
        <w:ind w:firstLine="420"/>
        <w:rPr>
          <w:rFonts w:hint="eastAsia"/>
        </w:rPr>
      </w:pPr>
      <w:r>
        <w:rPr>
          <w:rFonts w:hint="eastAsia"/>
        </w:rPr>
        <w:t>按《中华人民共和国药典（2020</w:t>
      </w:r>
      <w:r>
        <w:rPr>
          <w:rFonts w:hint="eastAsia"/>
          <w:lang w:val="en-US" w:eastAsia="zh-CN"/>
        </w:rPr>
        <w:t>年</w:t>
      </w:r>
      <w:r>
        <w:rPr>
          <w:rFonts w:hint="eastAsia"/>
        </w:rPr>
        <w:t>版）》四部 通则2341中规定的方法进行测定。</w:t>
      </w:r>
    </w:p>
    <w:p w14:paraId="6E0F223E">
      <w:pPr>
        <w:pStyle w:val="25"/>
        <w:numPr>
          <w:ilvl w:val="3"/>
          <w:numId w:val="0"/>
        </w:numPr>
        <w:spacing w:before="156" w:after="156"/>
        <w:ind w:left="0" w:leftChars="0" w:firstLine="0" w:firstLineChars="0"/>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.3.7</w:t>
      </w:r>
      <w:r>
        <w:rPr>
          <w:rFonts w:hint="eastAsia" w:cs="Times New Roman"/>
          <w:b w:val="0"/>
          <w:i w:val="0"/>
          <w:sz w:val="21"/>
          <w:lang w:val="en-US" w:eastAsia="zh-CN" w:bidi="ar-SA"/>
        </w:rPr>
        <w:t xml:space="preserve"> </w:t>
      </w:r>
      <w:r>
        <w:rPr>
          <w:rFonts w:hint="eastAsia"/>
        </w:rPr>
        <w:t>乙醇</w:t>
      </w:r>
    </w:p>
    <w:p w14:paraId="2A4AAE87">
      <w:pPr>
        <w:pStyle w:val="19"/>
        <w:spacing w:line="360" w:lineRule="auto"/>
        <w:ind w:firstLine="420"/>
        <w:rPr>
          <w:rFonts w:hint="eastAsia"/>
        </w:rPr>
      </w:pPr>
      <w:r>
        <w:rPr>
          <w:rFonts w:hint="eastAsia"/>
        </w:rPr>
        <w:t>按《中华人民共和国药典（2020</w:t>
      </w:r>
      <w:r>
        <w:rPr>
          <w:rFonts w:hint="eastAsia"/>
          <w:lang w:val="en-US" w:eastAsia="zh-CN"/>
        </w:rPr>
        <w:t>年</w:t>
      </w:r>
      <w:r>
        <w:rPr>
          <w:rFonts w:hint="eastAsia"/>
        </w:rPr>
        <w:t>版）》四部 通则0861中规定的方法进行测定。</w:t>
      </w:r>
    </w:p>
    <w:p w14:paraId="7A49FCBD">
      <w:pPr>
        <w:pStyle w:val="21"/>
        <w:numPr>
          <w:ilvl w:val="1"/>
          <w:numId w:val="0"/>
        </w:numPr>
        <w:spacing w:before="312" w:after="312"/>
        <w:ind w:left="0" w:leftChars="0" w:firstLine="0" w:firstLineChars="0"/>
      </w:pPr>
      <w:r>
        <w:rPr>
          <w:rFonts w:hint="eastAsia" w:cs="Times New Roman"/>
          <w:b w:val="0"/>
          <w:i w:val="0"/>
          <w:sz w:val="21"/>
          <w:lang w:val="en-US" w:eastAsia="zh-CN" w:bidi="ar-SA"/>
        </w:rPr>
        <w:t>7</w:t>
      </w:r>
      <w:r>
        <w:rPr>
          <w:rFonts w:hint="eastAsia" w:ascii="黑体" w:hAnsi="Times New Roman" w:eastAsia="黑体" w:cs="Times New Roman"/>
          <w:b w:val="0"/>
          <w:i w:val="0"/>
          <w:sz w:val="21"/>
          <w:lang w:val="en-US" w:eastAsia="zh-CN" w:bidi="ar-SA"/>
        </w:rPr>
        <w:t>　</w:t>
      </w:r>
      <w:r>
        <w:rPr>
          <w:rFonts w:hint="eastAsia"/>
        </w:rPr>
        <w:t xml:space="preserve">检验规则 </w:t>
      </w:r>
    </w:p>
    <w:p w14:paraId="4FCA2131">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rPr>
        <w:t>组批规则</w:t>
      </w:r>
    </w:p>
    <w:p w14:paraId="4FAB5E20">
      <w:pPr>
        <w:pStyle w:val="19"/>
        <w:spacing w:line="360" w:lineRule="auto"/>
        <w:ind w:firstLine="420"/>
        <w:rPr>
          <w:rFonts w:hint="eastAsia"/>
        </w:rPr>
      </w:pPr>
      <w:bookmarkStart w:id="23" w:name="_Hlk145235197"/>
      <w:r>
        <w:rPr>
          <w:rFonts w:hint="eastAsia"/>
        </w:rPr>
        <w:t>按照 GB/T 37625中规定的方法成批。</w:t>
      </w:r>
    </w:p>
    <w:bookmarkEnd w:id="23"/>
    <w:p w14:paraId="30DB1DF8">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rPr>
        <w:t>出厂检验</w:t>
      </w:r>
    </w:p>
    <w:p w14:paraId="7D2981C1">
      <w:pPr>
        <w:pStyle w:val="19"/>
        <w:spacing w:line="360" w:lineRule="auto"/>
        <w:ind w:firstLine="420"/>
        <w:rPr>
          <w:rFonts w:hint="eastAsia"/>
        </w:rPr>
      </w:pPr>
      <w:r>
        <w:rPr>
          <w:rFonts w:hint="eastAsia"/>
        </w:rPr>
        <w:t>由生产厂质量检验部门取样检验。外观、气味、水分、人参皂苷Rg3、人参总多糖、人参总皂苷、重金属（铅、汞、砷、镉、铜）、农药残留（五氯硝基苯、六氯苯、七氯、氯 丹）、乙醇、菌落总数、霉菌和酵母菌总数为出厂检验项目。</w:t>
      </w:r>
    </w:p>
    <w:p w14:paraId="1C11DDE1">
      <w:pPr>
        <w:pStyle w:val="19"/>
        <w:spacing w:line="360" w:lineRule="auto"/>
        <w:ind w:firstLine="420"/>
        <w:rPr>
          <w:rFonts w:hint="eastAsia"/>
        </w:rPr>
      </w:pPr>
      <w:r>
        <w:rPr>
          <w:rFonts w:hint="eastAsia"/>
        </w:rPr>
        <w:t>生产厂应保证每批出厂的产品都符合本</w:t>
      </w:r>
      <w:r>
        <w:rPr>
          <w:rFonts w:hint="eastAsia"/>
          <w:lang w:val="en-US" w:eastAsia="zh-CN"/>
        </w:rPr>
        <w:t>文件</w:t>
      </w:r>
      <w:r>
        <w:rPr>
          <w:rFonts w:hint="eastAsia"/>
        </w:rPr>
        <w:t>的要求。每一批出厂的产品都应有一定格式的质量证书，内容包括出厂检验项目、产品名称、生产厂名称、生产日期和批号、净重、执行标准编号。</w:t>
      </w:r>
    </w:p>
    <w:p w14:paraId="29677D38">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rPr>
        <w:t>型式检验</w:t>
      </w:r>
    </w:p>
    <w:p w14:paraId="2A7030EA">
      <w:pPr>
        <w:pStyle w:val="28"/>
        <w:numPr>
          <w:ilvl w:val="3"/>
          <w:numId w:val="0"/>
        </w:numPr>
        <w:spacing w:line="360" w:lineRule="auto"/>
        <w:ind w:left="0" w:leftChars="0" w:firstLine="0" w:firstLineChars="0"/>
        <w:rPr>
          <w:rFonts w:hint="eastAsia"/>
          <w:lang w:eastAsia="zh-CN"/>
        </w:rPr>
      </w:pPr>
      <w:r>
        <w:rPr>
          <w:rFonts w:hint="eastAsia" w:ascii="黑体" w:eastAsia="黑体" w:cs="Times New Roman"/>
          <w:b w:val="0"/>
          <w:i w:val="0"/>
          <w:sz w:val="21"/>
          <w:lang w:val="en-US" w:eastAsia="zh-CN" w:bidi="ar-SA"/>
        </w:rPr>
        <w:t>7</w:t>
      </w:r>
      <w:r>
        <w:rPr>
          <w:rFonts w:hint="eastAsia" w:ascii="黑体" w:hAnsi="Times New Roman" w:eastAsia="黑体" w:cs="Times New Roman"/>
          <w:b w:val="0"/>
          <w:i w:val="0"/>
          <w:sz w:val="21"/>
          <w:lang w:val="en-US" w:eastAsia="zh-CN" w:bidi="ar-SA"/>
        </w:rPr>
        <w:t>.3.1</w:t>
      </w:r>
      <w:r>
        <w:rPr>
          <w:rFonts w:hint="eastAsia" w:ascii="黑体" w:eastAsia="黑体" w:cs="Times New Roman"/>
          <w:b w:val="0"/>
          <w:i w:val="0"/>
          <w:sz w:val="21"/>
          <w:lang w:val="en-US" w:eastAsia="zh-CN" w:bidi="ar-SA"/>
        </w:rPr>
        <w:t xml:space="preserve"> </w:t>
      </w:r>
      <w:r>
        <w:rPr>
          <w:rFonts w:hint="eastAsia"/>
        </w:rPr>
        <w:t>型式检验每年不应少于1次。型式检验的项目为技术要求中的全部项目</w:t>
      </w:r>
      <w:r>
        <w:rPr>
          <w:rFonts w:hint="eastAsia"/>
          <w:lang w:eastAsia="zh-CN"/>
        </w:rPr>
        <w:t>。</w:t>
      </w:r>
    </w:p>
    <w:p w14:paraId="18A832E1">
      <w:pPr>
        <w:pStyle w:val="28"/>
        <w:numPr>
          <w:ilvl w:val="3"/>
          <w:numId w:val="0"/>
        </w:numPr>
        <w:spacing w:line="360" w:lineRule="auto"/>
        <w:ind w:left="0" w:leftChars="0" w:firstLine="0" w:firstLineChars="0"/>
      </w:pPr>
      <w:r>
        <w:rPr>
          <w:rFonts w:hint="eastAsia" w:ascii="黑体" w:eastAsia="黑体" w:cs="Times New Roman"/>
          <w:b w:val="0"/>
          <w:i w:val="0"/>
          <w:sz w:val="21"/>
          <w:lang w:val="en-US" w:eastAsia="zh-CN" w:bidi="ar-SA"/>
        </w:rPr>
        <w:t xml:space="preserve">7.3.2 </w:t>
      </w:r>
      <w:r>
        <w:rPr>
          <w:rFonts w:hint="eastAsia"/>
        </w:rPr>
        <w:t>有下列情况之一时，也应进行型式检验。</w:t>
      </w:r>
    </w:p>
    <w:p w14:paraId="5E772FE7">
      <w:pPr>
        <w:pStyle w:val="24"/>
        <w:numPr>
          <w:ilvl w:val="0"/>
          <w:numId w:val="8"/>
        </w:numPr>
        <w:spacing w:line="360" w:lineRule="auto"/>
      </w:pPr>
      <w:r>
        <w:rPr>
          <w:rFonts w:hint="eastAsia"/>
        </w:rPr>
        <w:t>当原料、工艺和设备发生重大改变时；</w:t>
      </w:r>
    </w:p>
    <w:p w14:paraId="4C6452A7">
      <w:pPr>
        <w:pStyle w:val="24"/>
        <w:spacing w:line="360" w:lineRule="auto"/>
      </w:pPr>
      <w:r>
        <w:rPr>
          <w:rFonts w:hint="eastAsia"/>
        </w:rPr>
        <w:t>产品首次投产或停产6个月以上恢复生产时；</w:t>
      </w:r>
    </w:p>
    <w:p w14:paraId="56FF4947">
      <w:pPr>
        <w:pStyle w:val="24"/>
        <w:spacing w:line="360" w:lineRule="auto"/>
      </w:pPr>
      <w:bookmarkStart w:id="24" w:name="_Hlk145235096"/>
      <w:r>
        <w:rPr>
          <w:rFonts w:hint="eastAsia"/>
        </w:rPr>
        <w:t>出厂检验与上一次型式检验结果有较大差异时；</w:t>
      </w:r>
    </w:p>
    <w:bookmarkEnd w:id="24"/>
    <w:p w14:paraId="5A334DC1">
      <w:pPr>
        <w:pStyle w:val="24"/>
        <w:spacing w:line="360" w:lineRule="auto"/>
      </w:pPr>
      <w:r>
        <w:rPr>
          <w:rFonts w:hint="eastAsia"/>
        </w:rPr>
        <w:t>生产场所改变时；</w:t>
      </w:r>
    </w:p>
    <w:p w14:paraId="206008FD">
      <w:pPr>
        <w:pStyle w:val="24"/>
        <w:spacing w:line="360" w:lineRule="auto"/>
      </w:pPr>
      <w:bookmarkStart w:id="25" w:name="_Hlk145235106"/>
      <w:r>
        <w:rPr>
          <w:rFonts w:hint="eastAsia"/>
        </w:rPr>
        <w:t>主管部门提出进行型式检验要求时。</w:t>
      </w:r>
    </w:p>
    <w:bookmarkEnd w:id="25"/>
    <w:p w14:paraId="6EC4D164">
      <w:pPr>
        <w:widowControl/>
        <w:spacing w:line="360" w:lineRule="auto"/>
        <w:jc w:val="left"/>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判定规则</w:t>
      </w:r>
    </w:p>
    <w:p w14:paraId="6F588EE3">
      <w:pPr>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7.4.1 </w:t>
      </w:r>
      <w:r>
        <w:rPr>
          <w:rFonts w:hint="eastAsia" w:ascii="宋体" w:hAnsi="Times New Roman" w:eastAsia="宋体" w:cs="Times New Roman"/>
          <w:sz w:val="21"/>
          <w:lang w:val="en-US" w:eastAsia="zh-CN" w:bidi="ar-SA"/>
        </w:rPr>
        <w:t>出厂检验、型式检验</w:t>
      </w:r>
      <w:r>
        <w:rPr>
          <w:rFonts w:hint="eastAsia" w:cs="Times New Roman"/>
          <w:sz w:val="21"/>
          <w:lang w:val="en-US" w:eastAsia="zh-CN" w:bidi="ar-SA"/>
        </w:rPr>
        <w:t>的</w:t>
      </w:r>
      <w:r>
        <w:rPr>
          <w:rFonts w:hint="eastAsia" w:ascii="宋体" w:hAnsi="Times New Roman" w:eastAsia="宋体" w:cs="Times New Roman"/>
          <w:sz w:val="21"/>
          <w:lang w:val="en-US" w:eastAsia="zh-CN" w:bidi="ar-SA"/>
        </w:rPr>
        <w:t>检验结</w:t>
      </w:r>
      <w:r>
        <w:rPr>
          <w:rFonts w:hint="eastAsia"/>
        </w:rPr>
        <w:t>果若有</w:t>
      </w:r>
      <w:r>
        <w:rPr>
          <w:rFonts w:hint="eastAsia"/>
          <w:lang w:val="en-US" w:eastAsia="zh-CN"/>
        </w:rPr>
        <w:t>1</w:t>
      </w:r>
      <w:r>
        <w:rPr>
          <w:rFonts w:hint="eastAsia"/>
        </w:rPr>
        <w:t>项不符合</w:t>
      </w:r>
      <w:r>
        <w:rPr>
          <w:rFonts w:hint="eastAsia"/>
          <w:lang w:val="en-US" w:eastAsia="zh-CN"/>
        </w:rPr>
        <w:t>本文件</w:t>
      </w:r>
      <w:r>
        <w:rPr>
          <w:rFonts w:hint="eastAsia"/>
        </w:rPr>
        <w:t>要求，应重新自双倍量的包装中取样进行复验，复</w:t>
      </w:r>
      <w:r>
        <w:rPr>
          <w:rFonts w:hint="eastAsia" w:ascii="宋体" w:hAnsi="宋体" w:eastAsia="宋体" w:cs="宋体"/>
          <w:bCs/>
          <w:kern w:val="0"/>
          <w:sz w:val="21"/>
          <w:szCs w:val="21"/>
          <w:lang w:val="en-US" w:eastAsia="zh-CN"/>
        </w:rPr>
        <w:t>对不合格指标进行复检，复检合格，则判该批产品合格；如仍不合格，则判该批产品不合格</w:t>
      </w:r>
      <w:r>
        <w:rPr>
          <w:rFonts w:hint="eastAsia" w:ascii="宋体" w:hAnsi="宋体" w:eastAsia="宋体" w:cs="宋体"/>
          <w:bCs/>
          <w:kern w:val="0"/>
          <w:sz w:val="21"/>
          <w:szCs w:val="21"/>
        </w:rPr>
        <w:t xml:space="preserve">。 </w:t>
      </w:r>
    </w:p>
    <w:p w14:paraId="6B5DCE6B">
      <w:pPr>
        <w:pStyle w:val="22"/>
        <w:numPr>
          <w:ilvl w:val="2"/>
          <w:numId w:val="0"/>
        </w:numPr>
        <w:spacing w:line="360" w:lineRule="auto"/>
        <w:ind w:left="0" w:leftChars="0" w:firstLine="0" w:firstLineChars="0"/>
      </w:pPr>
      <w:r>
        <w:rPr>
          <w:rFonts w:hint="eastAsia" w:ascii="黑体" w:eastAsia="黑体" w:cs="Times New Roman" w:hAnsiTheme="minorHAnsi"/>
          <w:b w:val="0"/>
          <w:bCs w:val="0"/>
          <w:i w:val="0"/>
          <w:iCs w:val="0"/>
          <w:caps w:val="0"/>
          <w:smallCaps w:val="0"/>
          <w:strike w:val="0"/>
          <w:dstrike w:val="0"/>
          <w:vanish w:val="0"/>
          <w:color w:val="000000"/>
          <w:spacing w:val="0"/>
          <w:kern w:val="0"/>
          <w:position w:val="0"/>
          <w:sz w:val="21"/>
          <w:szCs w:val="22"/>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7.4.2</w:t>
      </w: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rPr>
        <w:t>抽样方案与抽样方法按 GB/T</w:t>
      </w:r>
      <w:r>
        <w:t xml:space="preserve"> 37625</w:t>
      </w:r>
      <w:r>
        <w:rPr>
          <w:rFonts w:hint="eastAsia"/>
        </w:rPr>
        <w:t>中有关规定进行。</w:t>
      </w:r>
    </w:p>
    <w:p w14:paraId="0307D2A9">
      <w:pPr>
        <w:pStyle w:val="22"/>
        <w:numPr>
          <w:ilvl w:val="2"/>
          <w:numId w:val="0"/>
        </w:numPr>
        <w:spacing w:line="360" w:lineRule="auto"/>
        <w:ind w:left="0" w:leftChars="0" w:firstLine="0" w:firstLineChars="0"/>
      </w:pPr>
      <w:r>
        <w:rPr>
          <w:rFonts w:hint="eastAsia" w:ascii="黑体" w:eastAsia="黑体" w:cs="Times New Roman" w:hAnsiTheme="minorHAnsi"/>
          <w:b w:val="0"/>
          <w:bCs w:val="0"/>
          <w:i w:val="0"/>
          <w:iCs w:val="0"/>
          <w:caps w:val="0"/>
          <w:smallCaps w:val="0"/>
          <w:strike w:val="0"/>
          <w:dstrike w:val="0"/>
          <w:vanish w:val="0"/>
          <w:color w:val="000000"/>
          <w:spacing w:val="0"/>
          <w:kern w:val="0"/>
          <w:position w:val="0"/>
          <w:sz w:val="21"/>
          <w:szCs w:val="22"/>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7.4.3</w:t>
      </w:r>
      <w:r>
        <w:rPr>
          <w:rFonts w:hint="eastAsia"/>
          <w:lang w:val="en-US" w:eastAsia="zh-CN"/>
        </w:rPr>
        <w:t xml:space="preserve"> </w:t>
      </w:r>
      <w:r>
        <w:rPr>
          <w:rFonts w:hint="eastAsia"/>
        </w:rPr>
        <w:t>检验结果的判定按 GB/T</w:t>
      </w:r>
      <w:r>
        <w:t xml:space="preserve"> </w:t>
      </w:r>
      <w:r>
        <w:rPr>
          <w:rFonts w:hint="eastAsia"/>
        </w:rPr>
        <w:t>8170数值修约值比较法进行。</w:t>
      </w:r>
    </w:p>
    <w:p w14:paraId="0492851D">
      <w:pPr>
        <w:pStyle w:val="22"/>
        <w:numPr>
          <w:ilvl w:val="2"/>
          <w:numId w:val="0"/>
        </w:numPr>
        <w:spacing w:line="360" w:lineRule="auto"/>
        <w:ind w:left="0" w:leftChars="0" w:firstLine="0" w:firstLineChars="0"/>
      </w:pPr>
      <w:r>
        <w:rPr>
          <w:rFonts w:hint="eastAsia" w:ascii="黑体" w:eastAsia="黑体" w:cs="Times New Roman" w:hAnsiTheme="minorHAnsi"/>
          <w:b w:val="0"/>
          <w:bCs w:val="0"/>
          <w:i w:val="0"/>
          <w:iCs w:val="0"/>
          <w:caps w:val="0"/>
          <w:smallCaps w:val="0"/>
          <w:strike w:val="0"/>
          <w:dstrike w:val="0"/>
          <w:vanish w:val="0"/>
          <w:color w:val="000000"/>
          <w:spacing w:val="0"/>
          <w:kern w:val="0"/>
          <w:position w:val="0"/>
          <w:sz w:val="21"/>
          <w:szCs w:val="22"/>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7.4.4 </w:t>
      </w:r>
      <w:r>
        <w:rPr>
          <w:rFonts w:hint="eastAsia"/>
        </w:rPr>
        <w:t>使用单位有权按照本</w:t>
      </w:r>
      <w:r>
        <w:rPr>
          <w:rFonts w:hint="eastAsia"/>
          <w:lang w:val="en-US" w:eastAsia="zh-CN"/>
        </w:rPr>
        <w:t>文件</w:t>
      </w:r>
      <w:r>
        <w:rPr>
          <w:rFonts w:hint="eastAsia"/>
        </w:rPr>
        <w:t>的检验规则和试验方法对所收到的该产品进行验收，如有异议需在收到产品15天内向生产厂提出；当供需双方对产品质量发生异议时，由双方协商解决或请仲裁单位进行仲裁分析，仲裁分析时应按本</w:t>
      </w:r>
      <w:r>
        <w:rPr>
          <w:rFonts w:hint="eastAsia"/>
          <w:lang w:val="en-US" w:eastAsia="zh-CN"/>
        </w:rPr>
        <w:t>文件</w:t>
      </w:r>
      <w:r>
        <w:rPr>
          <w:rFonts w:hint="eastAsia"/>
        </w:rPr>
        <w:t>规定的试验方法和检验规则进行。</w:t>
      </w:r>
    </w:p>
    <w:p w14:paraId="3A4C1918">
      <w:pPr>
        <w:pStyle w:val="21"/>
        <w:numPr>
          <w:ilvl w:val="1"/>
          <w:numId w:val="0"/>
        </w:numPr>
        <w:spacing w:before="312" w:after="312"/>
        <w:ind w:left="0" w:leftChars="0" w:firstLine="0" w:firstLineChars="0"/>
      </w:pPr>
      <w:r>
        <w:rPr>
          <w:rFonts w:hint="eastAsia" w:cs="Times New Roman"/>
          <w:b w:val="0"/>
          <w:i w:val="0"/>
          <w:sz w:val="21"/>
          <w:lang w:val="en-US" w:eastAsia="zh-CN" w:bidi="ar-SA"/>
        </w:rPr>
        <w:t>8</w:t>
      </w:r>
      <w:r>
        <w:rPr>
          <w:rFonts w:hint="eastAsia" w:ascii="黑体" w:hAnsi="Times New Roman" w:eastAsia="黑体" w:cs="Times New Roman"/>
          <w:b w:val="0"/>
          <w:i w:val="0"/>
          <w:sz w:val="21"/>
          <w:lang w:val="en-US" w:eastAsia="zh-CN" w:bidi="ar-SA"/>
        </w:rPr>
        <w:t>　</w:t>
      </w:r>
      <w:r>
        <w:rPr>
          <w:rFonts w:hint="eastAsia"/>
        </w:rPr>
        <w:t>标签、包装、运输、贮存及保质期</w:t>
      </w:r>
    </w:p>
    <w:p w14:paraId="7884A39A">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rPr>
        <w:t>标签</w:t>
      </w:r>
    </w:p>
    <w:p w14:paraId="4F63D974">
      <w:pPr>
        <w:pStyle w:val="19"/>
        <w:spacing w:line="360" w:lineRule="auto"/>
        <w:ind w:firstLine="420"/>
      </w:pPr>
      <w:r>
        <w:rPr>
          <w:rFonts w:hint="eastAsia"/>
        </w:rPr>
        <w:t>产品销售包装图示标志应按 GB/T</w:t>
      </w:r>
      <w:r>
        <w:t xml:space="preserve"> </w:t>
      </w:r>
      <w:r>
        <w:rPr>
          <w:rFonts w:hint="eastAsia"/>
        </w:rPr>
        <w:t>191执行，标注内容为：产品名称、商标(如有)、保质期(用生产日期、保质期或生产批号、限期使用日期等方式组合表示)、生产者名称、地址、净含量、执行标准号以及根据产品特点所应标注的其他内容。</w:t>
      </w:r>
    </w:p>
    <w:p w14:paraId="0DBCAA23">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rPr>
        <w:t>包装</w:t>
      </w:r>
    </w:p>
    <w:p w14:paraId="6C829FA5">
      <w:pPr>
        <w:pStyle w:val="19"/>
        <w:spacing w:line="360" w:lineRule="auto"/>
        <w:ind w:firstLine="420"/>
        <w:rPr>
          <w:rFonts w:hint="eastAsia"/>
        </w:rPr>
      </w:pPr>
      <w:r>
        <w:rPr>
          <w:rFonts w:hint="eastAsia"/>
        </w:rPr>
        <w:t>内层为双层药用聚乙烯袋，外层为铝箔袋，装于全纸桶中。</w:t>
      </w:r>
    </w:p>
    <w:p w14:paraId="7668A70F">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rPr>
        <w:t>运输</w:t>
      </w:r>
    </w:p>
    <w:p w14:paraId="5D4DF2C7">
      <w:pPr>
        <w:pStyle w:val="19"/>
        <w:spacing w:line="360" w:lineRule="auto"/>
        <w:ind w:firstLine="420"/>
        <w:rPr>
          <w:rFonts w:hint="eastAsia"/>
        </w:rPr>
      </w:pPr>
      <w:r>
        <w:rPr>
          <w:rFonts w:hint="eastAsia"/>
        </w:rPr>
        <w:t>本产品属于非危险品，任何运输工具可采用，在运输时应防火、防热、防雨淋、防受潮。运输工具应清洁、卫生、干燥，在运输过程中应轻装轻卸，不应摔撞，不应与有毒、有害、有异味、有放射性的物质混运。</w:t>
      </w:r>
    </w:p>
    <w:p w14:paraId="3AB4CDCE">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rPr>
        <w:t>贮存</w:t>
      </w:r>
    </w:p>
    <w:p w14:paraId="37AE8657">
      <w:pPr>
        <w:pStyle w:val="19"/>
        <w:spacing w:line="360" w:lineRule="auto"/>
        <w:ind w:firstLine="420"/>
        <w:rPr>
          <w:rFonts w:hint="eastAsia"/>
        </w:rPr>
      </w:pPr>
      <w:r>
        <w:rPr>
          <w:rFonts w:hint="eastAsia"/>
        </w:rPr>
        <w:t>贮存产品的仓库应保持清洁卫生、干燥通风、隔热、阴凉。产品应堆放在距地面不少于0.1m、距墙壁不少于0.3</w:t>
      </w:r>
      <w:r>
        <w:rPr>
          <w:rFonts w:hint="eastAsia"/>
          <w:lang w:val="en-US" w:eastAsia="zh-CN"/>
        </w:rPr>
        <w:t xml:space="preserve"> </w:t>
      </w:r>
      <w:r>
        <w:rPr>
          <w:rFonts w:hint="eastAsia"/>
        </w:rPr>
        <w:t>m的托板上。避免与有毒、有害、易腐、易污染等物品一起堆放。</w:t>
      </w:r>
    </w:p>
    <w:p w14:paraId="45AEAFE1">
      <w:pPr>
        <w:pStyle w:val="23"/>
        <w:numPr>
          <w:ilvl w:val="2"/>
          <w:numId w:val="0"/>
        </w:numPr>
        <w:spacing w:before="156" w:after="156"/>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　</w:t>
      </w:r>
      <w:r>
        <w:rPr>
          <w:rFonts w:hint="eastAsia"/>
        </w:rPr>
        <w:t>保质期</w:t>
      </w:r>
    </w:p>
    <w:p w14:paraId="038AAF34">
      <w:pPr>
        <w:pStyle w:val="19"/>
        <w:spacing w:line="360" w:lineRule="auto"/>
        <w:ind w:firstLine="420"/>
        <w:rPr>
          <w:rFonts w:hint="eastAsia"/>
        </w:rPr>
      </w:pPr>
      <w:r>
        <w:rPr>
          <w:rFonts w:hint="eastAsia"/>
        </w:rPr>
        <w:t>在符合规定的运输和贮存条件下，产品在包装完整和未经启封的情况下，自生产之日起，保质期按销售包装标注执行。</w:t>
      </w:r>
    </w:p>
    <w:p w14:paraId="10364593">
      <w:pPr>
        <w:pStyle w:val="19"/>
        <w:spacing w:line="360" w:lineRule="auto"/>
        <w:ind w:firstLine="420"/>
        <w:rPr>
          <w:rFonts w:hint="eastAsia"/>
        </w:rPr>
        <w:sectPr>
          <w:pgSz w:w="11906" w:h="16838"/>
          <w:pgMar w:top="1928" w:right="1134" w:bottom="1134" w:left="1134" w:header="1418" w:footer="1134" w:gutter="284"/>
          <w:cols w:space="425" w:num="1"/>
          <w:formProt w:val="0"/>
          <w:docGrid w:type="lines" w:linePitch="312" w:charSpace="0"/>
        </w:sectPr>
      </w:pPr>
    </w:p>
    <w:bookmarkEnd w:id="1"/>
    <w:p w14:paraId="2317F04F">
      <w:pPr>
        <w:pStyle w:val="29"/>
      </w:pPr>
      <w:bookmarkStart w:id="26" w:name="BookMark5"/>
    </w:p>
    <w:p w14:paraId="2C1C1BAB">
      <w:pPr>
        <w:pStyle w:val="30"/>
      </w:pPr>
    </w:p>
    <w:p w14:paraId="2D0428C0">
      <w:pPr>
        <w:pStyle w:val="31"/>
        <w:numPr>
          <w:ilvl w:val="0"/>
          <w:numId w:val="0"/>
        </w:numPr>
        <w:spacing w:after="156"/>
        <w:ind w:left="0" w:leftChars="0" w:firstLine="0" w:firstLineChars="0"/>
      </w:pPr>
      <w:r>
        <w:rPr>
          <w:rFonts w:hint="eastAsia" w:ascii="黑体" w:hAnsi="Times New Roman" w:eastAsia="黑体" w:cs="Times New Roman"/>
          <w:spacing w:val="100"/>
          <w:sz w:val="21"/>
          <w:lang w:val="en-US" w:eastAsia="zh-CN" w:bidi="ar-SA"/>
        </w:rPr>
        <w:t>附录A</w:t>
      </w:r>
      <w:r>
        <w:br w:type="textWrapping"/>
      </w:r>
      <w:r>
        <w:rPr>
          <w:rFonts w:hint="eastAsia"/>
        </w:rPr>
        <w:t>（规范性）</w:t>
      </w:r>
      <w:r>
        <w:br w:type="textWrapping"/>
      </w:r>
      <w:r>
        <w:rPr>
          <w:rFonts w:hint="eastAsia"/>
        </w:rPr>
        <w:t>人参皂苷Rg3含量的测定</w:t>
      </w:r>
      <w:r>
        <w:rPr>
          <w:rFonts w:hint="eastAsia"/>
          <w:lang w:val="en-US" w:eastAsia="zh-CN"/>
        </w:rPr>
        <w:t>方法</w:t>
      </w:r>
    </w:p>
    <w:p w14:paraId="47CC94FD">
      <w:pPr>
        <w:pStyle w:val="32"/>
        <w:numPr>
          <w:ilvl w:val="1"/>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A.1　</w:t>
      </w:r>
      <w:r>
        <w:rPr>
          <w:rFonts w:hint="eastAsia"/>
        </w:rPr>
        <w:t>一般规定</w:t>
      </w:r>
    </w:p>
    <w:p w14:paraId="5AA2F48E">
      <w:pPr>
        <w:pStyle w:val="19"/>
        <w:spacing w:line="360" w:lineRule="auto"/>
        <w:ind w:firstLine="420"/>
        <w:rPr>
          <w:rFonts w:hint="eastAsia"/>
        </w:rPr>
      </w:pPr>
      <w:bookmarkStart w:id="27" w:name="_Hlk145230914"/>
      <w:r>
        <w:rPr>
          <w:rFonts w:hint="eastAsia"/>
        </w:rPr>
        <w:t>按照《中华人民共和国药典（2020</w:t>
      </w:r>
      <w:r>
        <w:rPr>
          <w:rFonts w:hint="eastAsia"/>
          <w:lang w:val="en-US" w:eastAsia="zh-CN"/>
        </w:rPr>
        <w:t>年</w:t>
      </w:r>
      <w:r>
        <w:rPr>
          <w:rFonts w:hint="eastAsia"/>
        </w:rPr>
        <w:t>版）》四部</w:t>
      </w:r>
      <w:r>
        <w:rPr>
          <w:rFonts w:hint="eastAsia"/>
          <w:lang w:val="en-US" w:eastAsia="zh-CN"/>
        </w:rPr>
        <w:t xml:space="preserve"> </w:t>
      </w:r>
      <w:r>
        <w:rPr>
          <w:rFonts w:hint="eastAsia"/>
        </w:rPr>
        <w:t>通则0512高效液相色谱法中测定法的外标法进行操作。</w:t>
      </w:r>
    </w:p>
    <w:p w14:paraId="6715F9D9">
      <w:pPr>
        <w:pStyle w:val="19"/>
        <w:spacing w:line="360" w:lineRule="auto"/>
        <w:ind w:firstLine="420"/>
        <w:rPr>
          <w:rFonts w:hint="eastAsia"/>
        </w:rPr>
      </w:pPr>
      <w:r>
        <w:rPr>
          <w:rFonts w:hint="eastAsia"/>
        </w:rPr>
        <w:t>本</w:t>
      </w:r>
      <w:r>
        <w:rPr>
          <w:rFonts w:hint="eastAsia"/>
          <w:lang w:val="en-US" w:eastAsia="zh-CN"/>
        </w:rPr>
        <w:t>文件</w:t>
      </w:r>
      <w:r>
        <w:rPr>
          <w:rFonts w:hint="eastAsia"/>
        </w:rPr>
        <w:t>所用试剂和水，在没有注明其他要求时，均指分析纯试剂和符合 GB/T 6682规定的实验用水。实验中所用溶液在未注明用何种溶剂配制时，均指水溶液</w:t>
      </w:r>
      <w:bookmarkEnd w:id="27"/>
      <w:r>
        <w:rPr>
          <w:rFonts w:hint="eastAsia"/>
        </w:rPr>
        <w:t>。</w:t>
      </w:r>
    </w:p>
    <w:p w14:paraId="76269A48">
      <w:pPr>
        <w:pStyle w:val="19"/>
        <w:ind w:firstLine="420"/>
      </w:pPr>
    </w:p>
    <w:p w14:paraId="23635E40">
      <w:pPr>
        <w:pStyle w:val="32"/>
        <w:numPr>
          <w:ilvl w:val="1"/>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A.2　</w:t>
      </w:r>
      <w:r>
        <w:rPr>
          <w:rFonts w:hint="eastAsia"/>
          <w:lang w:val="en-US" w:eastAsia="zh-CN"/>
        </w:rPr>
        <w:t>试剂</w:t>
      </w:r>
    </w:p>
    <w:p w14:paraId="6DC46312">
      <w:pPr>
        <w:pStyle w:val="34"/>
        <w:keepNext w:val="0"/>
        <w:keepLines w:val="0"/>
        <w:pageBreakBefore w:val="0"/>
        <w:numPr>
          <w:ilvl w:val="3"/>
          <w:numId w:val="0"/>
        </w:numPr>
        <w:kinsoku/>
        <w:topLinePunct w:val="0"/>
        <w:bidi w:val="0"/>
        <w:adjustRightInd/>
        <w:snapToGrid/>
        <w:spacing w:line="360" w:lineRule="auto"/>
        <w:ind w:leftChars="0" w:firstLine="420" w:firstLineChars="200"/>
        <w:rPr>
          <w:rFonts w:hint="eastAsia" w:eastAsia="宋体"/>
          <w:lang w:eastAsia="zh-CN"/>
        </w:rPr>
      </w:pPr>
      <w:r>
        <w:rPr>
          <w:rFonts w:hint="eastAsia"/>
          <w:lang w:val="en-US" w:eastAsia="zh-CN"/>
        </w:rPr>
        <w:t>a</w:t>
      </w:r>
      <w:r>
        <w:rPr>
          <w:rFonts w:hint="eastAsia"/>
          <w:lang w:eastAsia="zh-CN"/>
        </w:rPr>
        <w:t>）</w:t>
      </w:r>
      <w:r>
        <w:rPr>
          <w:rFonts w:hint="eastAsia"/>
        </w:rPr>
        <w:t>乙腈（色谱级）</w:t>
      </w:r>
      <w:r>
        <w:rPr>
          <w:rFonts w:hint="eastAsia"/>
          <w:lang w:eastAsia="zh-CN"/>
        </w:rPr>
        <w:t>；</w:t>
      </w:r>
    </w:p>
    <w:p w14:paraId="3CB48D4A">
      <w:pPr>
        <w:pStyle w:val="34"/>
        <w:keepNext w:val="0"/>
        <w:keepLines w:val="0"/>
        <w:pageBreakBefore w:val="0"/>
        <w:numPr>
          <w:ilvl w:val="3"/>
          <w:numId w:val="0"/>
        </w:numPr>
        <w:kinsoku/>
        <w:topLinePunct w:val="0"/>
        <w:bidi w:val="0"/>
        <w:adjustRightInd/>
        <w:snapToGrid/>
        <w:spacing w:line="360" w:lineRule="auto"/>
        <w:ind w:left="0" w:leftChars="0" w:firstLine="420" w:firstLineChars="200"/>
        <w:rPr>
          <w:rFonts w:hint="eastAsia" w:eastAsia="宋体"/>
          <w:lang w:eastAsia="zh-CN"/>
        </w:rPr>
      </w:pPr>
      <w:r>
        <w:rPr>
          <w:rFonts w:hint="eastAsia"/>
          <w:lang w:val="en-US" w:eastAsia="zh-CN"/>
        </w:rPr>
        <w:t>b</w:t>
      </w:r>
      <w:r>
        <w:rPr>
          <w:rFonts w:hint="eastAsia"/>
          <w:lang w:eastAsia="zh-CN"/>
        </w:rPr>
        <w:t>）</w:t>
      </w:r>
      <w:r>
        <w:rPr>
          <w:rFonts w:hint="eastAsia"/>
        </w:rPr>
        <w:t>超纯水</w:t>
      </w:r>
      <w:r>
        <w:rPr>
          <w:rFonts w:hint="eastAsia"/>
          <w:lang w:eastAsia="zh-CN"/>
        </w:rPr>
        <w:t>；</w:t>
      </w:r>
    </w:p>
    <w:p w14:paraId="261D3743">
      <w:pPr>
        <w:pStyle w:val="34"/>
        <w:keepNext w:val="0"/>
        <w:keepLines w:val="0"/>
        <w:pageBreakBefore w:val="0"/>
        <w:numPr>
          <w:ilvl w:val="3"/>
          <w:numId w:val="0"/>
        </w:numPr>
        <w:kinsoku/>
        <w:topLinePunct w:val="0"/>
        <w:bidi w:val="0"/>
        <w:adjustRightInd/>
        <w:snapToGrid/>
        <w:spacing w:line="360" w:lineRule="auto"/>
        <w:ind w:left="0" w:leftChars="0" w:firstLine="420" w:firstLineChars="200"/>
        <w:rPr>
          <w:rFonts w:hint="eastAsia" w:eastAsia="宋体"/>
          <w:lang w:eastAsia="zh-CN"/>
        </w:rPr>
      </w:pPr>
      <w:r>
        <w:rPr>
          <w:rFonts w:hint="eastAsia"/>
          <w:lang w:val="en-US" w:eastAsia="zh-CN"/>
        </w:rPr>
        <w:t>c</w:t>
      </w:r>
      <w:r>
        <w:rPr>
          <w:rFonts w:hint="eastAsia"/>
          <w:lang w:eastAsia="zh-CN"/>
        </w:rPr>
        <w:t>）</w:t>
      </w:r>
      <w:r>
        <w:rPr>
          <w:rFonts w:hint="eastAsia"/>
        </w:rPr>
        <w:t>甲醇</w:t>
      </w:r>
      <w:r>
        <w:rPr>
          <w:rFonts w:hint="eastAsia"/>
          <w:lang w:eastAsia="zh-CN"/>
        </w:rPr>
        <w:t>；</w:t>
      </w:r>
    </w:p>
    <w:p w14:paraId="44CD0B7C">
      <w:pPr>
        <w:pStyle w:val="34"/>
        <w:keepNext w:val="0"/>
        <w:keepLines w:val="0"/>
        <w:pageBreakBefore w:val="0"/>
        <w:numPr>
          <w:ilvl w:val="3"/>
          <w:numId w:val="0"/>
        </w:numPr>
        <w:kinsoku/>
        <w:topLinePunct w:val="0"/>
        <w:bidi w:val="0"/>
        <w:adjustRightInd/>
        <w:snapToGrid/>
        <w:spacing w:line="360" w:lineRule="auto"/>
        <w:ind w:left="0" w:leftChars="0" w:firstLine="420" w:firstLineChars="200"/>
        <w:rPr>
          <w:rFonts w:hint="eastAsia" w:eastAsia="宋体"/>
          <w:lang w:eastAsia="zh-CN"/>
        </w:rPr>
      </w:pPr>
      <w:r>
        <w:rPr>
          <w:rFonts w:hint="eastAsia"/>
          <w:lang w:val="en-US" w:eastAsia="zh-CN"/>
        </w:rPr>
        <w:t>d</w:t>
      </w:r>
      <w:r>
        <w:rPr>
          <w:rFonts w:hint="eastAsia"/>
          <w:lang w:eastAsia="zh-CN"/>
        </w:rPr>
        <w:t>）</w:t>
      </w:r>
      <w:r>
        <w:rPr>
          <w:rFonts w:hint="eastAsia"/>
        </w:rPr>
        <w:t>磷酸</w:t>
      </w:r>
      <w:r>
        <w:rPr>
          <w:rFonts w:hint="eastAsia"/>
          <w:lang w:eastAsia="zh-CN"/>
        </w:rPr>
        <w:t>；</w:t>
      </w:r>
    </w:p>
    <w:p w14:paraId="66DB404F">
      <w:pPr>
        <w:pStyle w:val="33"/>
        <w:keepNext w:val="0"/>
        <w:keepLines w:val="0"/>
        <w:pageBreakBefore w:val="0"/>
        <w:numPr>
          <w:ilvl w:val="2"/>
          <w:numId w:val="0"/>
        </w:numPr>
        <w:kinsoku/>
        <w:topLinePunct w:val="0"/>
        <w:bidi w:val="0"/>
        <w:adjustRightInd/>
        <w:snapToGrid/>
        <w:spacing w:before="156" w:after="156"/>
        <w:ind w:left="0" w:leftChars="0" w:firstLine="420" w:firstLineChars="200"/>
        <w:rPr>
          <w:rFonts w:hint="eastAsia"/>
        </w:rPr>
      </w:pPr>
      <w:r>
        <w:rPr>
          <w:rFonts w:hint="eastAsia" w:ascii="宋体" w:hAnsi="Times New Roman" w:eastAsia="宋体" w:cs="Times New Roman"/>
          <w:kern w:val="21"/>
          <w:sz w:val="21"/>
          <w:lang w:val="en-US" w:eastAsia="zh-CN" w:bidi="ar-SA"/>
        </w:rPr>
        <w:t>e）标准品</w:t>
      </w:r>
      <w:r>
        <w:rPr>
          <w:rFonts w:hint="eastAsia" w:ascii="宋体" w:eastAsia="宋体" w:cs="Times New Roman"/>
          <w:kern w:val="21"/>
          <w:sz w:val="21"/>
          <w:lang w:val="en-US" w:eastAsia="zh-CN" w:bidi="ar-SA"/>
        </w:rPr>
        <w:t>：</w:t>
      </w:r>
      <w:r>
        <w:rPr>
          <w:rFonts w:hint="eastAsia" w:ascii="宋体" w:hAnsi="Times New Roman" w:eastAsia="宋体" w:cs="Times New Roman"/>
          <w:kern w:val="21"/>
          <w:sz w:val="21"/>
          <w:lang w:val="en-US" w:eastAsia="zh-CN" w:bidi="ar-SA"/>
        </w:rPr>
        <w:t>人参皂苷Rg3化学成分的单体，纯度大于98%。</w:t>
      </w:r>
    </w:p>
    <w:p w14:paraId="5BFB91FE">
      <w:pPr>
        <w:pStyle w:val="33"/>
        <w:numPr>
          <w:ilvl w:val="2"/>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w:t>
      </w:r>
      <w:r>
        <w:rPr>
          <w:rFonts w:hint="eastAsia" w:cs="Times New Roman"/>
          <w:b w:val="0"/>
          <w:i w:val="0"/>
          <w:kern w:val="21"/>
          <w:sz w:val="21"/>
          <w:lang w:val="en-US" w:eastAsia="zh-CN" w:bidi="ar-SA"/>
        </w:rPr>
        <w:t>3</w:t>
      </w:r>
      <w:r>
        <w:rPr>
          <w:rFonts w:hint="eastAsia" w:ascii="黑体" w:hAnsi="Times New Roman" w:eastAsia="黑体" w:cs="Times New Roman"/>
          <w:b w:val="0"/>
          <w:i w:val="0"/>
          <w:kern w:val="21"/>
          <w:sz w:val="21"/>
          <w:lang w:val="en-US" w:eastAsia="zh-CN" w:bidi="ar-SA"/>
        </w:rPr>
        <w:t>.</w:t>
      </w:r>
      <w:r>
        <w:rPr>
          <w:rFonts w:hint="eastAsia" w:cs="Times New Roman"/>
          <w:b w:val="0"/>
          <w:i w:val="0"/>
          <w:kern w:val="21"/>
          <w:sz w:val="21"/>
          <w:lang w:val="en-US" w:eastAsia="zh-CN" w:bidi="ar-SA"/>
        </w:rPr>
        <w:t xml:space="preserve"> </w:t>
      </w:r>
      <w:r>
        <w:rPr>
          <w:rFonts w:hint="eastAsia"/>
        </w:rPr>
        <w:t>仪器和用具</w:t>
      </w:r>
    </w:p>
    <w:p w14:paraId="2140CE23">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a</w:t>
      </w:r>
      <w:r>
        <w:rPr>
          <w:rFonts w:hint="eastAsia"/>
          <w:lang w:eastAsia="zh-CN"/>
        </w:rPr>
        <w:t>）</w:t>
      </w:r>
      <w:r>
        <w:rPr>
          <w:rFonts w:hint="eastAsia"/>
        </w:rPr>
        <w:t>电子天平：梅特勒/MS-105</w:t>
      </w:r>
      <w:r>
        <w:rPr>
          <w:rFonts w:hint="eastAsia"/>
          <w:lang w:eastAsia="zh-CN"/>
        </w:rPr>
        <w:t>，</w:t>
      </w:r>
      <w:r>
        <w:rPr>
          <w:rFonts w:hint="eastAsia"/>
        </w:rPr>
        <w:t>十万分之一电子天平</w:t>
      </w:r>
      <w:r>
        <w:rPr>
          <w:rFonts w:hint="eastAsia"/>
          <w:lang w:eastAsia="zh-CN"/>
        </w:rPr>
        <w:t>；</w:t>
      </w:r>
    </w:p>
    <w:p w14:paraId="0A1B21CB">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b</w:t>
      </w:r>
      <w:r>
        <w:rPr>
          <w:rFonts w:hint="eastAsia"/>
          <w:lang w:eastAsia="zh-CN"/>
        </w:rPr>
        <w:t>）</w:t>
      </w:r>
      <w:r>
        <w:rPr>
          <w:rFonts w:hint="eastAsia"/>
        </w:rPr>
        <w:t>0.45um薄膜过滤头</w:t>
      </w:r>
      <w:r>
        <w:rPr>
          <w:rFonts w:hint="eastAsia"/>
          <w:lang w:eastAsia="zh-CN"/>
        </w:rPr>
        <w:t>；</w:t>
      </w:r>
    </w:p>
    <w:p w14:paraId="19A6B2C7">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c</w:t>
      </w:r>
      <w:r>
        <w:rPr>
          <w:rFonts w:hint="eastAsia"/>
          <w:lang w:eastAsia="zh-CN"/>
        </w:rPr>
        <w:t>）</w:t>
      </w:r>
      <w:r>
        <w:rPr>
          <w:rFonts w:hint="eastAsia"/>
        </w:rPr>
        <w:t>超纯水机</w:t>
      </w:r>
      <w:r>
        <w:rPr>
          <w:rFonts w:hint="eastAsia"/>
          <w:lang w:eastAsia="zh-CN"/>
        </w:rPr>
        <w:t>；</w:t>
      </w:r>
    </w:p>
    <w:p w14:paraId="51200791">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d</w:t>
      </w:r>
      <w:r>
        <w:rPr>
          <w:rFonts w:hint="eastAsia"/>
          <w:lang w:eastAsia="zh-CN"/>
        </w:rPr>
        <w:t>）</w:t>
      </w:r>
      <w:r>
        <w:rPr>
          <w:rFonts w:hint="eastAsia"/>
        </w:rPr>
        <w:t>真空抽滤装置</w:t>
      </w:r>
      <w:r>
        <w:rPr>
          <w:rFonts w:hint="eastAsia"/>
          <w:lang w:eastAsia="zh-CN"/>
        </w:rPr>
        <w:t>；</w:t>
      </w:r>
    </w:p>
    <w:p w14:paraId="26C42363">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e</w:t>
      </w:r>
      <w:r>
        <w:rPr>
          <w:rFonts w:hint="eastAsia"/>
          <w:lang w:eastAsia="zh-CN"/>
        </w:rPr>
        <w:t>）</w:t>
      </w:r>
      <w:r>
        <w:rPr>
          <w:rFonts w:hint="eastAsia"/>
        </w:rPr>
        <w:t>高效液相色谱仪</w:t>
      </w:r>
      <w:r>
        <w:rPr>
          <w:rFonts w:hint="eastAsia"/>
          <w:lang w:eastAsia="zh-CN"/>
        </w:rPr>
        <w:t>；</w:t>
      </w:r>
    </w:p>
    <w:p w14:paraId="534F16F8">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pPr>
      <w:r>
        <w:rPr>
          <w:rFonts w:hint="eastAsia"/>
          <w:lang w:val="en-US" w:eastAsia="zh-CN"/>
        </w:rPr>
        <w:t>f</w:t>
      </w:r>
      <w:r>
        <w:rPr>
          <w:rFonts w:hint="eastAsia"/>
          <w:lang w:eastAsia="zh-CN"/>
        </w:rPr>
        <w:t>）</w:t>
      </w:r>
      <w:r>
        <w:rPr>
          <w:rFonts w:hint="eastAsia"/>
        </w:rPr>
        <w:t>一次性医用注射器</w:t>
      </w:r>
      <w:r>
        <w:rPr>
          <w:rFonts w:hint="eastAsia"/>
          <w:lang w:eastAsia="zh-CN"/>
        </w:rPr>
        <w:t>；</w:t>
      </w:r>
    </w:p>
    <w:p w14:paraId="0928C81C">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g）具塞比色管；</w:t>
      </w:r>
    </w:p>
    <w:p w14:paraId="289F36C4">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h）容量瓶；</w:t>
      </w:r>
    </w:p>
    <w:p w14:paraId="0F89FFAE">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I）超声波清洗仪；</w:t>
      </w:r>
    </w:p>
    <w:p w14:paraId="304AC99B">
      <w:pPr>
        <w:pStyle w:val="34"/>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val="en-US" w:eastAsia="zh-CN"/>
        </w:rPr>
      </w:pPr>
      <w:r>
        <w:rPr>
          <w:rFonts w:hint="eastAsia"/>
          <w:lang w:val="en-US" w:eastAsia="zh-CN"/>
        </w:rPr>
        <w:t>J）</w:t>
      </w:r>
      <w:r>
        <w:rPr>
          <w:rFonts w:hint="eastAsia"/>
        </w:rPr>
        <w:t>0.22μm有机相微孔过滤膜</w:t>
      </w:r>
      <w:r>
        <w:rPr>
          <w:rFonts w:hint="eastAsia"/>
          <w:lang w:eastAsia="zh-CN"/>
        </w:rPr>
        <w:t>。</w:t>
      </w:r>
    </w:p>
    <w:p w14:paraId="0AF32C4D">
      <w:pPr>
        <w:pStyle w:val="33"/>
        <w:numPr>
          <w:ilvl w:val="2"/>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A.4　</w:t>
      </w:r>
      <w:r>
        <w:rPr>
          <w:rFonts w:hint="eastAsia"/>
        </w:rPr>
        <w:t>色谱条件</w:t>
      </w:r>
    </w:p>
    <w:p w14:paraId="7626875A">
      <w:pPr>
        <w:pStyle w:val="34"/>
        <w:keepNext w:val="0"/>
        <w:keepLines w:val="0"/>
        <w:pageBreakBefore w:val="0"/>
        <w:numPr>
          <w:ilvl w:val="3"/>
          <w:numId w:val="0"/>
        </w:numPr>
        <w:kinsoku/>
        <w:wordWrap/>
        <w:overflowPunct/>
        <w:topLinePunct w:val="0"/>
        <w:autoSpaceDE/>
        <w:autoSpaceDN/>
        <w:bidi w:val="0"/>
        <w:adjustRightInd/>
        <w:snapToGrid/>
        <w:ind w:left="0" w:leftChars="0" w:firstLine="420" w:firstLineChars="200"/>
        <w:textAlignment w:val="auto"/>
      </w:pPr>
      <w:r>
        <w:rPr>
          <w:rFonts w:hint="eastAsia"/>
          <w:lang w:val="en-US" w:eastAsia="zh-CN"/>
        </w:rPr>
        <w:t>a</w:t>
      </w:r>
      <w:r>
        <w:rPr>
          <w:rFonts w:hint="eastAsia"/>
          <w:lang w:eastAsia="zh-CN"/>
        </w:rPr>
        <w:t>）</w:t>
      </w:r>
      <w:r>
        <w:rPr>
          <w:rFonts w:hint="eastAsia"/>
        </w:rPr>
        <w:t>波长：20</w:t>
      </w:r>
      <w:r>
        <w:t>3</w:t>
      </w:r>
      <w:r>
        <w:rPr>
          <w:rFonts w:hint="eastAsia"/>
          <w:lang w:val="en-US" w:eastAsia="zh-CN"/>
        </w:rPr>
        <w:t xml:space="preserve"> </w:t>
      </w:r>
      <w:r>
        <w:rPr>
          <w:rFonts w:hint="eastAsia"/>
        </w:rPr>
        <w:t>nm</w:t>
      </w:r>
      <w:r>
        <w:rPr>
          <w:rFonts w:hint="eastAsia"/>
          <w:lang w:eastAsia="zh-CN"/>
        </w:rPr>
        <w:t>；</w:t>
      </w:r>
      <w:r>
        <w:rPr>
          <w:rFonts w:hint="eastAsia"/>
        </w:rPr>
        <w:t xml:space="preserve">           </w:t>
      </w:r>
    </w:p>
    <w:p w14:paraId="7C5DF59A">
      <w:pPr>
        <w:pStyle w:val="34"/>
        <w:keepNext w:val="0"/>
        <w:keepLines w:val="0"/>
        <w:pageBreakBefore w:val="0"/>
        <w:numPr>
          <w:ilvl w:val="3"/>
          <w:numId w:val="0"/>
        </w:numPr>
        <w:kinsoku/>
        <w:wordWrap/>
        <w:overflowPunct/>
        <w:topLinePunct w:val="0"/>
        <w:autoSpaceDE/>
        <w:autoSpaceDN/>
        <w:bidi w:val="0"/>
        <w:adjustRightInd/>
        <w:snapToGrid/>
        <w:ind w:left="0" w:leftChars="0" w:firstLine="420" w:firstLineChars="200"/>
        <w:textAlignment w:val="auto"/>
        <w:rPr>
          <w:rFonts w:hint="eastAsia" w:eastAsia="宋体"/>
          <w:lang w:eastAsia="zh-CN"/>
        </w:rPr>
      </w:pPr>
      <w:r>
        <w:rPr>
          <w:rFonts w:hint="eastAsia"/>
          <w:lang w:val="en-US" w:eastAsia="zh-CN"/>
        </w:rPr>
        <w:t>b</w:t>
      </w:r>
      <w:r>
        <w:rPr>
          <w:rFonts w:hint="eastAsia"/>
          <w:lang w:eastAsia="zh-CN"/>
        </w:rPr>
        <w:t>）</w:t>
      </w:r>
      <w:r>
        <w:rPr>
          <w:rFonts w:hint="eastAsia"/>
        </w:rPr>
        <w:t>流速：0.</w:t>
      </w:r>
      <w:r>
        <w:t>4</w:t>
      </w:r>
      <w:r>
        <w:rPr>
          <w:rFonts w:hint="eastAsia"/>
          <w:lang w:val="en-US" w:eastAsia="zh-CN"/>
        </w:rPr>
        <w:t xml:space="preserve"> </w:t>
      </w:r>
      <w:r>
        <w:rPr>
          <w:rFonts w:hint="eastAsia"/>
        </w:rPr>
        <w:t>m</w:t>
      </w:r>
      <w:r>
        <w:t>L</w:t>
      </w:r>
      <w:r>
        <w:rPr>
          <w:rFonts w:hint="eastAsia"/>
        </w:rPr>
        <w:t>/min</w:t>
      </w:r>
      <w:r>
        <w:rPr>
          <w:rFonts w:hint="eastAsia"/>
          <w:lang w:eastAsia="zh-CN"/>
        </w:rPr>
        <w:t>；</w:t>
      </w:r>
    </w:p>
    <w:p w14:paraId="31A992DC">
      <w:pPr>
        <w:pStyle w:val="34"/>
        <w:keepNext w:val="0"/>
        <w:keepLines w:val="0"/>
        <w:pageBreakBefore w:val="0"/>
        <w:numPr>
          <w:ilvl w:val="3"/>
          <w:numId w:val="0"/>
        </w:numPr>
        <w:kinsoku/>
        <w:wordWrap/>
        <w:overflowPunct/>
        <w:topLinePunct w:val="0"/>
        <w:autoSpaceDE/>
        <w:autoSpaceDN/>
        <w:bidi w:val="0"/>
        <w:adjustRightInd/>
        <w:snapToGrid/>
        <w:ind w:left="0" w:leftChars="0" w:firstLine="420" w:firstLineChars="200"/>
        <w:textAlignment w:val="auto"/>
        <w:rPr>
          <w:rFonts w:hint="eastAsia" w:eastAsia="宋体"/>
          <w:lang w:eastAsia="zh-CN"/>
        </w:rPr>
      </w:pPr>
      <w:r>
        <w:rPr>
          <w:rFonts w:hint="eastAsia"/>
          <w:lang w:val="en-US" w:eastAsia="zh-CN"/>
        </w:rPr>
        <w:t>c</w:t>
      </w:r>
      <w:r>
        <w:rPr>
          <w:rFonts w:hint="eastAsia"/>
          <w:lang w:eastAsia="zh-CN"/>
        </w:rPr>
        <w:t>）</w:t>
      </w:r>
      <w:r>
        <w:rPr>
          <w:rFonts w:hint="eastAsia"/>
        </w:rPr>
        <w:t>色谱柱：EC-C18色谱柱</w:t>
      </w:r>
      <w:r>
        <w:rPr>
          <w:rFonts w:hint="eastAsia"/>
          <w:lang w:eastAsia="zh-CN"/>
        </w:rPr>
        <w:t>，</w:t>
      </w:r>
      <w:r>
        <w:rPr>
          <w:rFonts w:hint="eastAsia"/>
        </w:rPr>
        <w:t>3.0 mm×150 mm</w:t>
      </w:r>
      <w:r>
        <w:rPr>
          <w:rFonts w:hint="eastAsia"/>
          <w:lang w:eastAsia="zh-CN"/>
        </w:rPr>
        <w:t>，</w:t>
      </w:r>
      <w:r>
        <w:rPr>
          <w:rFonts w:hint="eastAsia"/>
        </w:rPr>
        <w:t>粒径2.7</w:t>
      </w:r>
      <w:r>
        <w:rPr>
          <w:rFonts w:hint="eastAsia"/>
          <w:lang w:val="en-US" w:eastAsia="zh-CN"/>
        </w:rPr>
        <w:t xml:space="preserve"> </w:t>
      </w:r>
      <w:r>
        <w:rPr>
          <w:rFonts w:hint="eastAsia"/>
        </w:rPr>
        <w:t>μm</w:t>
      </w:r>
      <w:r>
        <w:rPr>
          <w:rFonts w:hint="eastAsia"/>
          <w:lang w:eastAsia="zh-CN"/>
        </w:rPr>
        <w:t>，</w:t>
      </w:r>
      <w:r>
        <w:rPr>
          <w:rFonts w:hint="eastAsia"/>
        </w:rPr>
        <w:t>或同等性能的色谱柱</w:t>
      </w:r>
      <w:r>
        <w:rPr>
          <w:rFonts w:hint="eastAsia"/>
          <w:lang w:eastAsia="zh-CN"/>
        </w:rPr>
        <w:t>；</w:t>
      </w:r>
    </w:p>
    <w:p w14:paraId="41862267">
      <w:pPr>
        <w:pStyle w:val="34"/>
        <w:keepNext w:val="0"/>
        <w:keepLines w:val="0"/>
        <w:pageBreakBefore w:val="0"/>
        <w:numPr>
          <w:ilvl w:val="3"/>
          <w:numId w:val="0"/>
        </w:numPr>
        <w:kinsoku/>
        <w:wordWrap/>
        <w:overflowPunct/>
        <w:topLinePunct w:val="0"/>
        <w:autoSpaceDE/>
        <w:autoSpaceDN/>
        <w:bidi w:val="0"/>
        <w:adjustRightInd/>
        <w:snapToGrid/>
        <w:ind w:left="0" w:leftChars="0" w:firstLine="420" w:firstLineChars="200"/>
        <w:textAlignment w:val="auto"/>
      </w:pPr>
      <w:r>
        <w:rPr>
          <w:rFonts w:hint="eastAsia"/>
          <w:lang w:val="en-US" w:eastAsia="zh-CN"/>
        </w:rPr>
        <w:t>d</w:t>
      </w:r>
      <w:r>
        <w:rPr>
          <w:rFonts w:hint="eastAsia"/>
          <w:lang w:eastAsia="zh-CN"/>
        </w:rPr>
        <w:t>）</w:t>
      </w:r>
      <w:r>
        <w:rPr>
          <w:rFonts w:hint="eastAsia"/>
        </w:rPr>
        <w:t>流动相A</w:t>
      </w:r>
      <w:r>
        <w:rPr>
          <w:rFonts w:hint="eastAsia"/>
          <w:lang w:eastAsia="zh-CN"/>
        </w:rPr>
        <w:t>（</w:t>
      </w:r>
      <w:r>
        <w:rPr>
          <w:rFonts w:hint="eastAsia"/>
        </w:rPr>
        <w:t>0.1%磷酸水溶液</w:t>
      </w:r>
      <w:r>
        <w:rPr>
          <w:rFonts w:hint="eastAsia"/>
          <w:lang w:eastAsia="zh-CN"/>
        </w:rPr>
        <w:t>）：</w:t>
      </w:r>
      <w:r>
        <w:rPr>
          <w:rFonts w:hint="eastAsia"/>
        </w:rPr>
        <w:t>称取0.1</w:t>
      </w:r>
      <w:r>
        <w:rPr>
          <w:rFonts w:hint="eastAsia"/>
          <w:lang w:val="en-US" w:eastAsia="zh-CN"/>
        </w:rPr>
        <w:t xml:space="preserve"> </w:t>
      </w:r>
      <w:r>
        <w:rPr>
          <w:rFonts w:hint="eastAsia"/>
        </w:rPr>
        <w:t>g磷酸，加超纯水至1</w:t>
      </w:r>
      <w:r>
        <w:rPr>
          <w:rFonts w:hint="eastAsia"/>
          <w:lang w:val="en-US" w:eastAsia="zh-CN"/>
        </w:rPr>
        <w:t xml:space="preserve"> </w:t>
      </w:r>
      <w:r>
        <w:rPr>
          <w:rFonts w:hint="eastAsia"/>
        </w:rPr>
        <w:t>kg，超声混匀，真空抽滤，过0.22μm的有机相微孔过滤膜，即得。</w:t>
      </w:r>
    </w:p>
    <w:p w14:paraId="4A5EA17F">
      <w:pPr>
        <w:pStyle w:val="24"/>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e</w:t>
      </w:r>
      <w:r>
        <w:rPr>
          <w:rFonts w:hint="eastAsia"/>
          <w:lang w:eastAsia="zh-CN"/>
        </w:rPr>
        <w:t>）</w:t>
      </w:r>
      <w:r>
        <w:rPr>
          <w:rFonts w:hint="eastAsia"/>
        </w:rPr>
        <w:t>流动相B：乙腈</w:t>
      </w:r>
    </w:p>
    <w:p w14:paraId="7C84B198">
      <w:pPr>
        <w:pStyle w:val="33"/>
        <w:numPr>
          <w:ilvl w:val="2"/>
          <w:numId w:val="0"/>
        </w:numPr>
        <w:spacing w:before="156" w:after="156"/>
        <w:ind w:left="0" w:leftChars="0" w:firstLine="0" w:firstLineChars="0"/>
        <w:rPr>
          <w:rFonts w:hint="eastAsia" w:ascii="黑体" w:hAnsi="Times New Roman" w:eastAsia="黑体" w:cs="Times New Roman"/>
          <w:b w:val="0"/>
          <w:i w:val="0"/>
          <w:kern w:val="21"/>
          <w:sz w:val="21"/>
          <w:lang w:val="en-US" w:eastAsia="zh-CN" w:bidi="ar-SA"/>
        </w:rPr>
      </w:pPr>
      <w:r>
        <w:rPr>
          <w:rFonts w:hint="eastAsia" w:ascii="黑体" w:hAnsi="Times New Roman" w:eastAsia="黑体" w:cs="Times New Roman"/>
          <w:b w:val="0"/>
          <w:i w:val="0"/>
          <w:kern w:val="21"/>
          <w:sz w:val="21"/>
          <w:lang w:val="en-US" w:eastAsia="zh-CN" w:bidi="ar-SA"/>
        </w:rPr>
        <w:t>A.5　梯度条件见表A.1</w:t>
      </w:r>
    </w:p>
    <w:p w14:paraId="35DC8658">
      <w:pPr>
        <w:pStyle w:val="34"/>
        <w:numPr>
          <w:ilvl w:val="0"/>
          <w:numId w:val="0"/>
        </w:numPr>
      </w:pPr>
    </w:p>
    <w:p w14:paraId="43B46E49">
      <w:pPr>
        <w:pStyle w:val="36"/>
        <w:spacing w:before="156" w:after="156"/>
      </w:pPr>
      <w:r>
        <w:rPr>
          <w:rFonts w:hint="eastAsia"/>
        </w:rPr>
        <w:t>梯度条件</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63"/>
        <w:gridCol w:w="2112"/>
        <w:gridCol w:w="2075"/>
        <w:gridCol w:w="2076"/>
      </w:tblGrid>
      <w:tr w14:paraId="44FC9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14:paraId="220A9A03">
            <w:pPr>
              <w:pStyle w:val="27"/>
            </w:pPr>
            <w:r>
              <w:rPr>
                <w:rFonts w:hint="eastAsia"/>
              </w:rPr>
              <w:t>时间/min</w:t>
            </w:r>
          </w:p>
        </w:tc>
        <w:tc>
          <w:tcPr>
            <w:tcW w:w="2333" w:type="dxa"/>
            <w:tcBorders>
              <w:top w:val="single" w:color="auto" w:sz="8" w:space="0"/>
              <w:bottom w:val="single" w:color="auto" w:sz="8" w:space="0"/>
            </w:tcBorders>
            <w:shd w:val="clear" w:color="auto" w:fill="auto"/>
          </w:tcPr>
          <w:p w14:paraId="6BEA450C">
            <w:pPr>
              <w:pStyle w:val="27"/>
            </w:pPr>
            <w:r>
              <w:rPr>
                <w:rFonts w:hint="eastAsia"/>
              </w:rPr>
              <w:t>流速(mL/min)</w:t>
            </w:r>
          </w:p>
        </w:tc>
        <w:tc>
          <w:tcPr>
            <w:tcW w:w="2333" w:type="dxa"/>
            <w:tcBorders>
              <w:top w:val="single" w:color="auto" w:sz="8" w:space="0"/>
              <w:bottom w:val="single" w:color="auto" w:sz="8" w:space="0"/>
            </w:tcBorders>
            <w:shd w:val="clear" w:color="auto" w:fill="auto"/>
          </w:tcPr>
          <w:p w14:paraId="1F59219E">
            <w:pPr>
              <w:pStyle w:val="27"/>
            </w:pPr>
            <w:r>
              <w:rPr>
                <w:rFonts w:hint="eastAsia"/>
              </w:rPr>
              <w:t>流动相A(%，V/V)</w:t>
            </w:r>
          </w:p>
        </w:tc>
        <w:tc>
          <w:tcPr>
            <w:tcW w:w="2334" w:type="dxa"/>
            <w:tcBorders>
              <w:top w:val="single" w:color="auto" w:sz="8" w:space="0"/>
              <w:bottom w:val="single" w:color="auto" w:sz="8" w:space="0"/>
            </w:tcBorders>
            <w:shd w:val="clear" w:color="auto" w:fill="auto"/>
          </w:tcPr>
          <w:p w14:paraId="16312EA3">
            <w:pPr>
              <w:pStyle w:val="27"/>
            </w:pPr>
            <w:r>
              <w:rPr>
                <w:rFonts w:hint="eastAsia"/>
              </w:rPr>
              <w:t>流动相B(%，V/V)</w:t>
            </w:r>
          </w:p>
        </w:tc>
      </w:tr>
      <w:tr w14:paraId="37AB6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14:paraId="71D2D595">
            <w:pPr>
              <w:pStyle w:val="27"/>
            </w:pPr>
            <w:r>
              <w:rPr>
                <w:rFonts w:hint="eastAsia"/>
              </w:rPr>
              <w:t>0</w:t>
            </w:r>
          </w:p>
        </w:tc>
        <w:tc>
          <w:tcPr>
            <w:tcW w:w="2333" w:type="dxa"/>
            <w:tcBorders>
              <w:top w:val="single" w:color="auto" w:sz="8" w:space="0"/>
            </w:tcBorders>
            <w:shd w:val="clear" w:color="auto" w:fill="auto"/>
          </w:tcPr>
          <w:p w14:paraId="409EFE8B">
            <w:pPr>
              <w:pStyle w:val="27"/>
            </w:pPr>
            <w:r>
              <w:t>0</w:t>
            </w:r>
            <w:r>
              <w:rPr>
                <w:rFonts w:hint="eastAsia"/>
              </w:rPr>
              <w:t>.</w:t>
            </w:r>
            <w:r>
              <w:t>4</w:t>
            </w:r>
          </w:p>
        </w:tc>
        <w:tc>
          <w:tcPr>
            <w:tcW w:w="2333" w:type="dxa"/>
            <w:tcBorders>
              <w:top w:val="single" w:color="auto" w:sz="8" w:space="0"/>
            </w:tcBorders>
            <w:shd w:val="clear" w:color="auto" w:fill="auto"/>
          </w:tcPr>
          <w:p w14:paraId="144EC0DC">
            <w:pPr>
              <w:pStyle w:val="27"/>
            </w:pPr>
            <w:r>
              <w:rPr>
                <w:rFonts w:hint="eastAsia"/>
              </w:rPr>
              <w:t>7</w:t>
            </w:r>
            <w:r>
              <w:t>0</w:t>
            </w:r>
          </w:p>
        </w:tc>
        <w:tc>
          <w:tcPr>
            <w:tcW w:w="2334" w:type="dxa"/>
            <w:tcBorders>
              <w:top w:val="single" w:color="auto" w:sz="8" w:space="0"/>
            </w:tcBorders>
            <w:shd w:val="clear" w:color="auto" w:fill="auto"/>
          </w:tcPr>
          <w:p w14:paraId="756CD8D4">
            <w:pPr>
              <w:pStyle w:val="27"/>
            </w:pPr>
            <w:r>
              <w:rPr>
                <w:rFonts w:hint="eastAsia"/>
              </w:rPr>
              <w:t>3</w:t>
            </w:r>
            <w:r>
              <w:t>0</w:t>
            </w:r>
          </w:p>
        </w:tc>
      </w:tr>
      <w:tr w14:paraId="47995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5780BF22">
            <w:pPr>
              <w:pStyle w:val="27"/>
            </w:pPr>
            <w:r>
              <w:t>5</w:t>
            </w:r>
          </w:p>
        </w:tc>
        <w:tc>
          <w:tcPr>
            <w:tcW w:w="2333" w:type="dxa"/>
            <w:shd w:val="clear" w:color="auto" w:fill="auto"/>
          </w:tcPr>
          <w:p w14:paraId="7F86D0B8">
            <w:pPr>
              <w:pStyle w:val="27"/>
            </w:pPr>
            <w:r>
              <w:rPr>
                <w:rFonts w:hint="eastAsia"/>
              </w:rPr>
              <w:t>0</w:t>
            </w:r>
            <w:r>
              <w:t>.4</w:t>
            </w:r>
          </w:p>
        </w:tc>
        <w:tc>
          <w:tcPr>
            <w:tcW w:w="2333" w:type="dxa"/>
            <w:shd w:val="clear" w:color="auto" w:fill="auto"/>
          </w:tcPr>
          <w:p w14:paraId="70DB5453">
            <w:pPr>
              <w:pStyle w:val="27"/>
            </w:pPr>
            <w:r>
              <w:rPr>
                <w:rFonts w:hint="eastAsia"/>
              </w:rPr>
              <w:t>5</w:t>
            </w:r>
            <w:r>
              <w:t>0</w:t>
            </w:r>
          </w:p>
        </w:tc>
        <w:tc>
          <w:tcPr>
            <w:tcW w:w="2334" w:type="dxa"/>
            <w:shd w:val="clear" w:color="auto" w:fill="auto"/>
          </w:tcPr>
          <w:p w14:paraId="28FD8E17">
            <w:pPr>
              <w:pStyle w:val="27"/>
            </w:pPr>
            <w:r>
              <w:t>50</w:t>
            </w:r>
          </w:p>
        </w:tc>
      </w:tr>
      <w:tr w14:paraId="0F49C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10D12B02">
            <w:pPr>
              <w:pStyle w:val="27"/>
            </w:pPr>
            <w:r>
              <w:t>13</w:t>
            </w:r>
          </w:p>
        </w:tc>
        <w:tc>
          <w:tcPr>
            <w:tcW w:w="2333" w:type="dxa"/>
            <w:shd w:val="clear" w:color="auto" w:fill="auto"/>
          </w:tcPr>
          <w:p w14:paraId="25AB618C">
            <w:pPr>
              <w:pStyle w:val="27"/>
            </w:pPr>
            <w:r>
              <w:rPr>
                <w:rFonts w:hint="eastAsia"/>
              </w:rPr>
              <w:t>0</w:t>
            </w:r>
            <w:r>
              <w:t>.4</w:t>
            </w:r>
          </w:p>
        </w:tc>
        <w:tc>
          <w:tcPr>
            <w:tcW w:w="2333" w:type="dxa"/>
            <w:shd w:val="clear" w:color="auto" w:fill="auto"/>
          </w:tcPr>
          <w:p w14:paraId="4FF22256">
            <w:pPr>
              <w:pStyle w:val="27"/>
            </w:pPr>
            <w:r>
              <w:rPr>
                <w:rFonts w:hint="eastAsia"/>
              </w:rPr>
              <w:t>4</w:t>
            </w:r>
            <w:r>
              <w:t>5</w:t>
            </w:r>
          </w:p>
        </w:tc>
        <w:tc>
          <w:tcPr>
            <w:tcW w:w="2334" w:type="dxa"/>
            <w:shd w:val="clear" w:color="auto" w:fill="auto"/>
          </w:tcPr>
          <w:p w14:paraId="3A961D6E">
            <w:pPr>
              <w:pStyle w:val="27"/>
            </w:pPr>
            <w:r>
              <w:rPr>
                <w:rFonts w:hint="eastAsia"/>
              </w:rPr>
              <w:t>5</w:t>
            </w:r>
            <w:r>
              <w:t>5</w:t>
            </w:r>
          </w:p>
        </w:tc>
      </w:tr>
      <w:tr w14:paraId="7D43C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5BFF79C0">
            <w:pPr>
              <w:pStyle w:val="27"/>
              <w:rPr>
                <w:rFonts w:hint="eastAsia"/>
              </w:rPr>
            </w:pPr>
            <w:r>
              <w:rPr>
                <w:rFonts w:hint="eastAsia"/>
              </w:rPr>
              <w:t>2</w:t>
            </w:r>
            <w:r>
              <w:t>0</w:t>
            </w:r>
          </w:p>
        </w:tc>
        <w:tc>
          <w:tcPr>
            <w:tcW w:w="2333" w:type="dxa"/>
            <w:shd w:val="clear" w:color="auto" w:fill="auto"/>
          </w:tcPr>
          <w:p w14:paraId="7846FE08">
            <w:pPr>
              <w:pStyle w:val="27"/>
              <w:rPr>
                <w:rFonts w:hint="eastAsia"/>
              </w:rPr>
            </w:pPr>
            <w:r>
              <w:rPr>
                <w:rFonts w:hint="eastAsia"/>
              </w:rPr>
              <w:t>0</w:t>
            </w:r>
            <w:r>
              <w:t>.4</w:t>
            </w:r>
          </w:p>
        </w:tc>
        <w:tc>
          <w:tcPr>
            <w:tcW w:w="2333" w:type="dxa"/>
            <w:shd w:val="clear" w:color="auto" w:fill="auto"/>
          </w:tcPr>
          <w:p w14:paraId="7B53713B">
            <w:pPr>
              <w:pStyle w:val="27"/>
              <w:rPr>
                <w:rFonts w:hint="eastAsia"/>
              </w:rPr>
            </w:pPr>
            <w:r>
              <w:rPr>
                <w:rFonts w:hint="eastAsia"/>
              </w:rPr>
              <w:t>5</w:t>
            </w:r>
            <w:r>
              <w:t>5</w:t>
            </w:r>
          </w:p>
        </w:tc>
        <w:tc>
          <w:tcPr>
            <w:tcW w:w="2334" w:type="dxa"/>
            <w:shd w:val="clear" w:color="auto" w:fill="auto"/>
          </w:tcPr>
          <w:p w14:paraId="0B728604">
            <w:pPr>
              <w:pStyle w:val="27"/>
              <w:rPr>
                <w:rFonts w:hint="eastAsia"/>
              </w:rPr>
            </w:pPr>
            <w:r>
              <w:rPr>
                <w:rFonts w:hint="eastAsia"/>
              </w:rPr>
              <w:t>4</w:t>
            </w:r>
            <w:r>
              <w:t>5</w:t>
            </w:r>
          </w:p>
        </w:tc>
      </w:tr>
      <w:tr w14:paraId="1AD79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16D20DD6">
            <w:pPr>
              <w:pStyle w:val="27"/>
              <w:rPr>
                <w:rFonts w:hint="eastAsia"/>
              </w:rPr>
            </w:pPr>
            <w:r>
              <w:rPr>
                <w:rFonts w:hint="eastAsia"/>
              </w:rPr>
              <w:t>3</w:t>
            </w:r>
            <w:r>
              <w:t>0</w:t>
            </w:r>
          </w:p>
        </w:tc>
        <w:tc>
          <w:tcPr>
            <w:tcW w:w="2333" w:type="dxa"/>
            <w:shd w:val="clear" w:color="auto" w:fill="auto"/>
          </w:tcPr>
          <w:p w14:paraId="360A4EDB">
            <w:pPr>
              <w:pStyle w:val="27"/>
              <w:rPr>
                <w:rFonts w:hint="eastAsia"/>
              </w:rPr>
            </w:pPr>
            <w:r>
              <w:rPr>
                <w:rFonts w:hint="eastAsia"/>
              </w:rPr>
              <w:t>0</w:t>
            </w:r>
            <w:r>
              <w:t>.4</w:t>
            </w:r>
          </w:p>
        </w:tc>
        <w:tc>
          <w:tcPr>
            <w:tcW w:w="2333" w:type="dxa"/>
            <w:shd w:val="clear" w:color="auto" w:fill="auto"/>
          </w:tcPr>
          <w:p w14:paraId="7FBAC798">
            <w:pPr>
              <w:pStyle w:val="27"/>
              <w:rPr>
                <w:rFonts w:hint="eastAsia"/>
              </w:rPr>
            </w:pPr>
            <w:r>
              <w:rPr>
                <w:rFonts w:hint="eastAsia"/>
              </w:rPr>
              <w:t>5</w:t>
            </w:r>
            <w:r>
              <w:t>5</w:t>
            </w:r>
          </w:p>
        </w:tc>
        <w:tc>
          <w:tcPr>
            <w:tcW w:w="2334" w:type="dxa"/>
            <w:shd w:val="clear" w:color="auto" w:fill="auto"/>
          </w:tcPr>
          <w:p w14:paraId="52383251">
            <w:pPr>
              <w:pStyle w:val="27"/>
              <w:rPr>
                <w:rFonts w:hint="eastAsia"/>
              </w:rPr>
            </w:pPr>
            <w:r>
              <w:rPr>
                <w:rFonts w:hint="eastAsia"/>
              </w:rPr>
              <w:t>4</w:t>
            </w:r>
            <w:r>
              <w:t>5</w:t>
            </w:r>
          </w:p>
        </w:tc>
      </w:tr>
      <w:tr w14:paraId="7AEA4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30A7F9C6">
            <w:pPr>
              <w:pStyle w:val="27"/>
              <w:rPr>
                <w:rFonts w:hint="eastAsia"/>
              </w:rPr>
            </w:pPr>
            <w:r>
              <w:rPr>
                <w:rFonts w:hint="eastAsia"/>
              </w:rPr>
              <w:t>3</w:t>
            </w:r>
            <w:r>
              <w:t>2</w:t>
            </w:r>
          </w:p>
        </w:tc>
        <w:tc>
          <w:tcPr>
            <w:tcW w:w="2333" w:type="dxa"/>
            <w:shd w:val="clear" w:color="auto" w:fill="auto"/>
          </w:tcPr>
          <w:p w14:paraId="1122705B">
            <w:pPr>
              <w:pStyle w:val="27"/>
              <w:rPr>
                <w:rFonts w:hint="eastAsia"/>
              </w:rPr>
            </w:pPr>
            <w:r>
              <w:rPr>
                <w:rFonts w:hint="eastAsia"/>
              </w:rPr>
              <w:t>0</w:t>
            </w:r>
            <w:r>
              <w:t>.4</w:t>
            </w:r>
          </w:p>
        </w:tc>
        <w:tc>
          <w:tcPr>
            <w:tcW w:w="2333" w:type="dxa"/>
            <w:shd w:val="clear" w:color="auto" w:fill="auto"/>
          </w:tcPr>
          <w:p w14:paraId="05D96D9B">
            <w:pPr>
              <w:pStyle w:val="27"/>
              <w:rPr>
                <w:rFonts w:hint="eastAsia"/>
              </w:rPr>
            </w:pPr>
            <w:r>
              <w:rPr>
                <w:rFonts w:hint="eastAsia"/>
              </w:rPr>
              <w:t>3</w:t>
            </w:r>
            <w:r>
              <w:t>0</w:t>
            </w:r>
          </w:p>
        </w:tc>
        <w:tc>
          <w:tcPr>
            <w:tcW w:w="2334" w:type="dxa"/>
            <w:shd w:val="clear" w:color="auto" w:fill="auto"/>
          </w:tcPr>
          <w:p w14:paraId="63A577B6">
            <w:pPr>
              <w:pStyle w:val="27"/>
              <w:rPr>
                <w:rFonts w:hint="eastAsia"/>
              </w:rPr>
            </w:pPr>
            <w:r>
              <w:rPr>
                <w:rFonts w:hint="eastAsia"/>
              </w:rPr>
              <w:t>7</w:t>
            </w:r>
            <w:r>
              <w:t>0</w:t>
            </w:r>
          </w:p>
        </w:tc>
      </w:tr>
      <w:tr w14:paraId="60FB3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7A2CB3B3">
            <w:pPr>
              <w:pStyle w:val="27"/>
              <w:rPr>
                <w:rFonts w:hint="eastAsia"/>
              </w:rPr>
            </w:pPr>
            <w:r>
              <w:rPr>
                <w:rFonts w:hint="eastAsia"/>
              </w:rPr>
              <w:t>3</w:t>
            </w:r>
            <w:r>
              <w:t>7</w:t>
            </w:r>
          </w:p>
        </w:tc>
        <w:tc>
          <w:tcPr>
            <w:tcW w:w="2333" w:type="dxa"/>
            <w:shd w:val="clear" w:color="auto" w:fill="auto"/>
          </w:tcPr>
          <w:p w14:paraId="38FCC19A">
            <w:pPr>
              <w:pStyle w:val="27"/>
              <w:rPr>
                <w:rFonts w:hint="eastAsia"/>
              </w:rPr>
            </w:pPr>
            <w:r>
              <w:rPr>
                <w:rFonts w:hint="eastAsia"/>
              </w:rPr>
              <w:t>0</w:t>
            </w:r>
            <w:r>
              <w:t>.4</w:t>
            </w:r>
          </w:p>
        </w:tc>
        <w:tc>
          <w:tcPr>
            <w:tcW w:w="2333" w:type="dxa"/>
            <w:shd w:val="clear" w:color="auto" w:fill="auto"/>
          </w:tcPr>
          <w:p w14:paraId="70E02E0C">
            <w:pPr>
              <w:pStyle w:val="27"/>
              <w:rPr>
                <w:rFonts w:hint="eastAsia"/>
              </w:rPr>
            </w:pPr>
            <w:r>
              <w:rPr>
                <w:rFonts w:hint="eastAsia"/>
              </w:rPr>
              <w:t>3</w:t>
            </w:r>
            <w:r>
              <w:t>0</w:t>
            </w:r>
          </w:p>
        </w:tc>
        <w:tc>
          <w:tcPr>
            <w:tcW w:w="2334" w:type="dxa"/>
            <w:shd w:val="clear" w:color="auto" w:fill="auto"/>
          </w:tcPr>
          <w:p w14:paraId="7AE945AD">
            <w:pPr>
              <w:pStyle w:val="27"/>
              <w:rPr>
                <w:rFonts w:hint="eastAsia"/>
              </w:rPr>
            </w:pPr>
            <w:r>
              <w:rPr>
                <w:rFonts w:hint="eastAsia"/>
              </w:rPr>
              <w:t>7</w:t>
            </w:r>
            <w:r>
              <w:t>0</w:t>
            </w:r>
          </w:p>
        </w:tc>
      </w:tr>
      <w:tr w14:paraId="0AE4C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3E67C10E">
            <w:pPr>
              <w:pStyle w:val="27"/>
              <w:rPr>
                <w:rFonts w:hint="eastAsia"/>
              </w:rPr>
            </w:pPr>
            <w:r>
              <w:rPr>
                <w:rFonts w:hint="eastAsia"/>
              </w:rPr>
              <w:t>3</w:t>
            </w:r>
            <w:r>
              <w:t>9</w:t>
            </w:r>
          </w:p>
        </w:tc>
        <w:tc>
          <w:tcPr>
            <w:tcW w:w="2333" w:type="dxa"/>
            <w:shd w:val="clear" w:color="auto" w:fill="auto"/>
          </w:tcPr>
          <w:p w14:paraId="02F802A4">
            <w:pPr>
              <w:pStyle w:val="27"/>
              <w:rPr>
                <w:rFonts w:hint="eastAsia"/>
              </w:rPr>
            </w:pPr>
            <w:r>
              <w:rPr>
                <w:rFonts w:hint="eastAsia"/>
              </w:rPr>
              <w:t>0</w:t>
            </w:r>
            <w:r>
              <w:t>.4</w:t>
            </w:r>
          </w:p>
        </w:tc>
        <w:tc>
          <w:tcPr>
            <w:tcW w:w="2333" w:type="dxa"/>
            <w:shd w:val="clear" w:color="auto" w:fill="auto"/>
          </w:tcPr>
          <w:p w14:paraId="71D360F3">
            <w:pPr>
              <w:pStyle w:val="27"/>
              <w:rPr>
                <w:rFonts w:hint="eastAsia"/>
              </w:rPr>
            </w:pPr>
            <w:r>
              <w:rPr>
                <w:rFonts w:hint="eastAsia"/>
              </w:rPr>
              <w:t>7</w:t>
            </w:r>
            <w:r>
              <w:t>0</w:t>
            </w:r>
          </w:p>
        </w:tc>
        <w:tc>
          <w:tcPr>
            <w:tcW w:w="2334" w:type="dxa"/>
            <w:shd w:val="clear" w:color="auto" w:fill="auto"/>
          </w:tcPr>
          <w:p w14:paraId="5FE3A012">
            <w:pPr>
              <w:pStyle w:val="27"/>
              <w:rPr>
                <w:rFonts w:hint="eastAsia"/>
              </w:rPr>
            </w:pPr>
            <w:r>
              <w:rPr>
                <w:rFonts w:hint="eastAsia"/>
              </w:rPr>
              <w:t>3</w:t>
            </w:r>
            <w:r>
              <w:t>0</w:t>
            </w:r>
          </w:p>
        </w:tc>
      </w:tr>
      <w:tr w14:paraId="3BC47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0CF8DA28">
            <w:pPr>
              <w:pStyle w:val="27"/>
              <w:rPr>
                <w:rFonts w:hint="eastAsia"/>
              </w:rPr>
            </w:pPr>
            <w:r>
              <w:rPr>
                <w:rFonts w:hint="eastAsia"/>
              </w:rPr>
              <w:t>4</w:t>
            </w:r>
            <w:r>
              <w:t>5</w:t>
            </w:r>
          </w:p>
        </w:tc>
        <w:tc>
          <w:tcPr>
            <w:tcW w:w="2333" w:type="dxa"/>
            <w:shd w:val="clear" w:color="auto" w:fill="auto"/>
          </w:tcPr>
          <w:p w14:paraId="260BE9FC">
            <w:pPr>
              <w:pStyle w:val="27"/>
              <w:rPr>
                <w:rFonts w:hint="eastAsia"/>
              </w:rPr>
            </w:pPr>
            <w:r>
              <w:rPr>
                <w:rFonts w:hint="eastAsia"/>
              </w:rPr>
              <w:t>0</w:t>
            </w:r>
            <w:r>
              <w:t>.4</w:t>
            </w:r>
          </w:p>
        </w:tc>
        <w:tc>
          <w:tcPr>
            <w:tcW w:w="2333" w:type="dxa"/>
            <w:shd w:val="clear" w:color="auto" w:fill="auto"/>
          </w:tcPr>
          <w:p w14:paraId="4025E227">
            <w:pPr>
              <w:pStyle w:val="27"/>
              <w:rPr>
                <w:rFonts w:hint="eastAsia"/>
              </w:rPr>
            </w:pPr>
            <w:r>
              <w:rPr>
                <w:rFonts w:hint="eastAsia"/>
              </w:rPr>
              <w:t>7</w:t>
            </w:r>
            <w:r>
              <w:t>0</w:t>
            </w:r>
          </w:p>
        </w:tc>
        <w:tc>
          <w:tcPr>
            <w:tcW w:w="2334" w:type="dxa"/>
            <w:shd w:val="clear" w:color="auto" w:fill="auto"/>
          </w:tcPr>
          <w:p w14:paraId="546C6B9A">
            <w:pPr>
              <w:pStyle w:val="27"/>
              <w:rPr>
                <w:rFonts w:hint="eastAsia"/>
              </w:rPr>
            </w:pPr>
            <w:r>
              <w:rPr>
                <w:rFonts w:hint="eastAsia"/>
              </w:rPr>
              <w:t>3</w:t>
            </w:r>
            <w:r>
              <w:t>0</w:t>
            </w:r>
          </w:p>
        </w:tc>
      </w:tr>
    </w:tbl>
    <w:p w14:paraId="3CB9041B">
      <w:pPr>
        <w:pStyle w:val="34"/>
        <w:numPr>
          <w:ilvl w:val="3"/>
          <w:numId w:val="0"/>
        </w:numPr>
        <w:spacing w:line="360" w:lineRule="auto"/>
        <w:ind w:left="0" w:leftChars="0" w:firstLine="0" w:firstLineChars="0"/>
      </w:pPr>
      <w:r>
        <w:rPr>
          <w:rFonts w:hint="eastAsia" w:ascii="黑体" w:hAnsi="Times New Roman" w:eastAsia="黑体" w:cs="Times New Roman"/>
          <w:b w:val="0"/>
          <w:i w:val="0"/>
          <w:kern w:val="21"/>
          <w:sz w:val="21"/>
          <w:lang w:val="en-US" w:eastAsia="zh-CN" w:bidi="ar-SA"/>
        </w:rPr>
        <w:t>A.6　</w:t>
      </w:r>
      <w:r>
        <w:rPr>
          <w:rFonts w:hint="eastAsia"/>
        </w:rPr>
        <w:t>进样量：</w:t>
      </w:r>
      <w:r>
        <w:t>1</w:t>
      </w:r>
      <w:r>
        <w:rPr>
          <w:rFonts w:hint="eastAsia"/>
          <w:lang w:val="en-US" w:eastAsia="zh-CN"/>
        </w:rPr>
        <w:t xml:space="preserve"> </w:t>
      </w:r>
      <w:r>
        <w:rPr>
          <w:rFonts w:hint="eastAsia"/>
        </w:rPr>
        <w:t>μ</w:t>
      </w:r>
      <w:r>
        <w:t>L</w:t>
      </w:r>
    </w:p>
    <w:p w14:paraId="611F79FD">
      <w:pPr>
        <w:pStyle w:val="32"/>
        <w:numPr>
          <w:ilvl w:val="1"/>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w:t>
      </w:r>
      <w:r>
        <w:rPr>
          <w:rFonts w:hint="eastAsia" w:cs="Times New Roman"/>
          <w:b w:val="0"/>
          <w:i w:val="0"/>
          <w:kern w:val="21"/>
          <w:sz w:val="21"/>
          <w:lang w:val="en-US" w:eastAsia="zh-CN" w:bidi="ar-SA"/>
        </w:rPr>
        <w:t>7</w:t>
      </w:r>
      <w:r>
        <w:rPr>
          <w:rFonts w:hint="eastAsia" w:ascii="黑体" w:hAnsi="Times New Roman" w:eastAsia="黑体" w:cs="Times New Roman"/>
          <w:b w:val="0"/>
          <w:i w:val="0"/>
          <w:kern w:val="21"/>
          <w:sz w:val="21"/>
          <w:lang w:val="en-US" w:eastAsia="zh-CN" w:bidi="ar-SA"/>
        </w:rPr>
        <w:t>　</w:t>
      </w:r>
      <w:r>
        <w:rPr>
          <w:rFonts w:hint="eastAsia"/>
        </w:rPr>
        <w:t>操作步骤</w:t>
      </w:r>
    </w:p>
    <w:p w14:paraId="29200324">
      <w:pPr>
        <w:pStyle w:val="37"/>
        <w:numPr>
          <w:ilvl w:val="2"/>
          <w:numId w:val="0"/>
        </w:numPr>
        <w:spacing w:line="360" w:lineRule="auto"/>
        <w:ind w:left="0" w:leftChars="0" w:firstLine="0" w:firstLineChars="0"/>
      </w:pPr>
      <w:r>
        <w:rPr>
          <w:rFonts w:hint="eastAsia" w:ascii="黑体" w:hAnsi="Times New Roman" w:eastAsia="黑体" w:cs="Times New Roman"/>
          <w:b w:val="0"/>
          <w:i w:val="0"/>
          <w:kern w:val="21"/>
          <w:sz w:val="21"/>
          <w:lang w:val="en-US" w:eastAsia="zh-CN" w:bidi="ar-SA"/>
        </w:rPr>
        <w:t>A.</w:t>
      </w:r>
      <w:r>
        <w:rPr>
          <w:rFonts w:hint="eastAsia" w:ascii="黑体" w:eastAsia="黑体" w:cs="Times New Roman"/>
          <w:b w:val="0"/>
          <w:i w:val="0"/>
          <w:kern w:val="21"/>
          <w:sz w:val="21"/>
          <w:lang w:val="en-US" w:eastAsia="zh-CN" w:bidi="ar-SA"/>
        </w:rPr>
        <w:t>7</w:t>
      </w:r>
      <w:r>
        <w:rPr>
          <w:rFonts w:hint="eastAsia" w:ascii="黑体" w:hAnsi="Times New Roman" w:eastAsia="黑体" w:cs="Times New Roman"/>
          <w:b w:val="0"/>
          <w:i w:val="0"/>
          <w:kern w:val="21"/>
          <w:sz w:val="21"/>
          <w:lang w:val="en-US" w:eastAsia="zh-CN" w:bidi="ar-SA"/>
        </w:rPr>
        <w:t>.1　</w:t>
      </w:r>
      <w:r>
        <w:rPr>
          <w:rFonts w:hint="eastAsia"/>
          <w:lang w:val="en-US" w:eastAsia="zh-CN"/>
        </w:rPr>
        <w:t>试样</w:t>
      </w:r>
      <w:r>
        <w:rPr>
          <w:rFonts w:hint="eastAsia"/>
        </w:rPr>
        <w:t>供试液的制备：称取</w:t>
      </w:r>
      <w:r>
        <w:rPr>
          <w:rFonts w:hint="eastAsia"/>
          <w:lang w:val="en-US" w:eastAsia="zh-CN"/>
        </w:rPr>
        <w:t>试样</w:t>
      </w:r>
      <w:r>
        <w:rPr>
          <w:rFonts w:hint="eastAsia"/>
        </w:rPr>
        <w:t>约1.0 g（精确到0.001</w:t>
      </w:r>
      <w:r>
        <w:rPr>
          <w:rFonts w:hint="eastAsia"/>
          <w:lang w:val="en-US" w:eastAsia="zh-CN"/>
        </w:rPr>
        <w:t xml:space="preserve"> </w:t>
      </w:r>
      <w:r>
        <w:rPr>
          <w:rFonts w:hint="eastAsia"/>
        </w:rPr>
        <w:t>g）于10 mL具塞</w:t>
      </w:r>
      <w:r>
        <w:rPr>
          <w:rFonts w:hint="eastAsia"/>
          <w:u w:val="none"/>
        </w:rPr>
        <w:t>比色管</w:t>
      </w:r>
      <w:r>
        <w:rPr>
          <w:rFonts w:hint="eastAsia"/>
        </w:rPr>
        <w:t>中，加甲醇至10 mL刻度，超声提取10 min，反复摇匀2 min，经0.45</w:t>
      </w:r>
      <w:r>
        <w:rPr>
          <w:rFonts w:hint="eastAsia"/>
          <w:lang w:val="en-US" w:eastAsia="zh-CN"/>
        </w:rPr>
        <w:t xml:space="preserve"> </w:t>
      </w:r>
      <w:r>
        <w:rPr>
          <w:rFonts w:hint="eastAsia"/>
        </w:rPr>
        <w:t>μm滤膜过滤，作为待测溶液。若浓度较低，可不稀释直接进样。</w:t>
      </w:r>
    </w:p>
    <w:p w14:paraId="296323E3">
      <w:pPr>
        <w:pStyle w:val="37"/>
        <w:numPr>
          <w:ilvl w:val="2"/>
          <w:numId w:val="0"/>
        </w:numPr>
        <w:spacing w:line="360" w:lineRule="auto"/>
        <w:ind w:left="0" w:leftChars="0" w:firstLine="0" w:firstLineChars="0"/>
        <w:rPr>
          <w:u w:val="none"/>
        </w:rPr>
      </w:pPr>
      <w:r>
        <w:rPr>
          <w:rFonts w:hint="eastAsia" w:ascii="黑体" w:hAnsi="Times New Roman" w:eastAsia="黑体" w:cs="Times New Roman"/>
          <w:b w:val="0"/>
          <w:i w:val="0"/>
          <w:kern w:val="21"/>
          <w:sz w:val="21"/>
          <w:lang w:val="en-US" w:eastAsia="zh-CN" w:bidi="ar-SA"/>
        </w:rPr>
        <w:t>A.</w:t>
      </w:r>
      <w:r>
        <w:rPr>
          <w:rFonts w:hint="eastAsia" w:ascii="黑体" w:eastAsia="黑体" w:cs="Times New Roman"/>
          <w:b w:val="0"/>
          <w:i w:val="0"/>
          <w:kern w:val="21"/>
          <w:sz w:val="21"/>
          <w:lang w:val="en-US" w:eastAsia="zh-CN" w:bidi="ar-SA"/>
        </w:rPr>
        <w:t>7</w:t>
      </w:r>
      <w:r>
        <w:rPr>
          <w:rFonts w:hint="eastAsia" w:ascii="黑体" w:hAnsi="Times New Roman" w:eastAsia="黑体" w:cs="Times New Roman"/>
          <w:b w:val="0"/>
          <w:i w:val="0"/>
          <w:kern w:val="21"/>
          <w:sz w:val="21"/>
          <w:lang w:val="en-US" w:eastAsia="zh-CN" w:bidi="ar-SA"/>
        </w:rPr>
        <w:t>.2　</w:t>
      </w:r>
      <w:r>
        <w:rPr>
          <w:rFonts w:hint="eastAsia"/>
        </w:rPr>
        <w:t>标准品溶液的制备：称取人参皂苷Rg3标准品10 mg，用甲醇溶解，转移至10 mL</w:t>
      </w:r>
      <w:r>
        <w:rPr>
          <w:rFonts w:hint="eastAsia"/>
          <w:u w:val="none"/>
        </w:rPr>
        <w:t>容量瓶</w:t>
      </w:r>
      <w:r>
        <w:rPr>
          <w:rFonts w:hint="eastAsia"/>
          <w:u w:val="none"/>
        </w:rPr>
        <w:t>中定容，混匀即为标准品溶液。</w:t>
      </w:r>
    </w:p>
    <w:p w14:paraId="44483E51">
      <w:pPr>
        <w:pStyle w:val="37"/>
        <w:numPr>
          <w:ilvl w:val="2"/>
          <w:numId w:val="0"/>
        </w:numPr>
        <w:spacing w:line="360" w:lineRule="auto"/>
        <w:ind w:left="0" w:leftChars="0" w:firstLine="0" w:firstLineChars="0"/>
      </w:pPr>
      <w:r>
        <w:rPr>
          <w:rFonts w:hint="eastAsia" w:ascii="黑体" w:hAnsi="Times New Roman" w:eastAsia="黑体" w:cs="Times New Roman"/>
          <w:b w:val="0"/>
          <w:i w:val="0"/>
          <w:kern w:val="21"/>
          <w:sz w:val="21"/>
          <w:lang w:val="en-US" w:eastAsia="zh-CN" w:bidi="ar-SA"/>
        </w:rPr>
        <w:t>A.</w:t>
      </w:r>
      <w:r>
        <w:rPr>
          <w:rFonts w:hint="eastAsia" w:ascii="黑体" w:eastAsia="黑体" w:cs="Times New Roman"/>
          <w:b w:val="0"/>
          <w:i w:val="0"/>
          <w:kern w:val="21"/>
          <w:sz w:val="21"/>
          <w:lang w:val="en-US" w:eastAsia="zh-CN" w:bidi="ar-SA"/>
        </w:rPr>
        <w:t>7</w:t>
      </w:r>
      <w:r>
        <w:rPr>
          <w:rFonts w:hint="eastAsia" w:ascii="黑体" w:hAnsi="Times New Roman" w:eastAsia="黑体" w:cs="Times New Roman"/>
          <w:b w:val="0"/>
          <w:i w:val="0"/>
          <w:kern w:val="21"/>
          <w:sz w:val="21"/>
          <w:lang w:val="en-US" w:eastAsia="zh-CN" w:bidi="ar-SA"/>
        </w:rPr>
        <w:t>.3　</w:t>
      </w:r>
      <w:r>
        <w:rPr>
          <w:rFonts w:hint="eastAsia"/>
        </w:rPr>
        <w:t>将</w:t>
      </w:r>
      <w:r>
        <w:rPr>
          <w:rFonts w:hint="eastAsia"/>
          <w:lang w:val="en-US" w:eastAsia="zh-CN"/>
        </w:rPr>
        <w:t>试样</w:t>
      </w:r>
      <w:r>
        <w:rPr>
          <w:rFonts w:hint="eastAsia"/>
        </w:rPr>
        <w:t>供试液、标准品溶液各</w:t>
      </w:r>
      <w:r>
        <w:t>1</w:t>
      </w:r>
      <w:r>
        <w:rPr>
          <w:rFonts w:hint="eastAsia"/>
          <w:lang w:val="en-US" w:eastAsia="zh-CN"/>
        </w:rPr>
        <w:t xml:space="preserve"> </w:t>
      </w:r>
      <w:r>
        <w:rPr>
          <w:rFonts w:hint="eastAsia"/>
        </w:rPr>
        <w:t>μ</w:t>
      </w:r>
      <w:r>
        <w:t>L</w:t>
      </w:r>
      <w:r>
        <w:rPr>
          <w:rFonts w:hint="eastAsia"/>
        </w:rPr>
        <w:t>分别注入高效液相色谱仪。</w:t>
      </w:r>
    </w:p>
    <w:p w14:paraId="34431BC5">
      <w:pPr>
        <w:pStyle w:val="32"/>
        <w:numPr>
          <w:ilvl w:val="1"/>
          <w:numId w:val="0"/>
        </w:numPr>
        <w:spacing w:before="156" w:after="156"/>
        <w:ind w:left="0" w:leftChars="0" w:firstLine="0" w:firstLineChars="0"/>
      </w:pPr>
      <w:r>
        <w:rPr>
          <w:rFonts w:hint="eastAsia" w:ascii="黑体" w:hAnsi="Times New Roman" w:eastAsia="黑体" w:cs="Times New Roman"/>
          <w:b w:val="0"/>
          <w:i w:val="0"/>
          <w:kern w:val="21"/>
          <w:sz w:val="21"/>
          <w:lang w:val="en-US" w:eastAsia="zh-CN" w:bidi="ar-SA"/>
        </w:rPr>
        <w:t>A.</w:t>
      </w:r>
      <w:r>
        <w:rPr>
          <w:rFonts w:hint="eastAsia" w:cs="Times New Roman"/>
          <w:b w:val="0"/>
          <w:i w:val="0"/>
          <w:kern w:val="21"/>
          <w:sz w:val="21"/>
          <w:lang w:val="en-US" w:eastAsia="zh-CN" w:bidi="ar-SA"/>
        </w:rPr>
        <w:t>8</w:t>
      </w:r>
      <w:r>
        <w:rPr>
          <w:rFonts w:hint="eastAsia" w:ascii="黑体" w:hAnsi="Times New Roman" w:eastAsia="黑体" w:cs="Times New Roman"/>
          <w:b w:val="0"/>
          <w:i w:val="0"/>
          <w:kern w:val="21"/>
          <w:sz w:val="21"/>
          <w:lang w:val="en-US" w:eastAsia="zh-CN" w:bidi="ar-SA"/>
        </w:rPr>
        <w:t>　</w:t>
      </w:r>
      <w:r>
        <w:rPr>
          <w:rFonts w:hint="eastAsia"/>
        </w:rPr>
        <w:t>计算</w:t>
      </w:r>
    </w:p>
    <w:p w14:paraId="0B7A1BE0">
      <w:pPr>
        <w:pStyle w:val="19"/>
        <w:spacing w:line="360" w:lineRule="auto"/>
        <w:ind w:firstLine="420"/>
      </w:pPr>
      <w:bookmarkStart w:id="28" w:name="_Hlk145232654"/>
      <w:r>
        <w:rPr>
          <w:rFonts w:hint="eastAsia"/>
        </w:rPr>
        <w:t>外标法计算各目标成分（X）的质量百分比，数值以%表示，按式（A</w:t>
      </w:r>
      <w:r>
        <w:t>.1</w:t>
      </w:r>
      <w:r>
        <w:rPr>
          <w:rFonts w:hint="eastAsia"/>
        </w:rPr>
        <w:t>）计算：</w:t>
      </w:r>
    </w:p>
    <w:bookmarkEnd w:id="28"/>
    <w:p w14:paraId="3BE3C548">
      <w:pPr>
        <w:pStyle w:val="38"/>
        <w:spacing w:line="360" w:lineRule="auto"/>
      </w:pPr>
      <w:r>
        <w:tab/>
      </w:r>
      <m:oMath>
        <m:r>
          <m:rPr>
            <m:sty m:val="p"/>
          </m:rPr>
          <w:rPr>
            <w:rFonts w:ascii="Cambria Math" w:hAnsi="Cambria Math"/>
          </w:rPr>
          <m:t>(X)%</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eastAsia" w:ascii="Cambria Math" w:hAnsi="Cambria Math"/>
                  </w:rPr>
                  <m:t>样</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标</m:t>
                </m:r>
                <m:ctrlPr>
                  <w:rPr>
                    <w:rFonts w:ascii="Cambria Math" w:hAnsi="Cambria Math"/>
                    <w:i/>
                  </w:rPr>
                </m:ctrlPr>
              </m:sub>
            </m:sSub>
            <m:r>
              <m:rPr/>
              <w:rPr>
                <w:rFonts w:ascii="Cambria Math" w:hAnsi="Cambria Math"/>
              </w:rPr>
              <m:t>×V</m:t>
            </m:r>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eastAsia" w:ascii="Cambria Math" w:hAnsi="Cambria Math"/>
                  </w:rPr>
                  <m:t>标</m:t>
                </m:r>
                <m:ctrlPr>
                  <w:rPr>
                    <w:rFonts w:ascii="Cambria Math" w:hAnsi="Cambria Math"/>
                    <w:i/>
                  </w:rPr>
                </m:ctrlPr>
              </m:sub>
            </m:sSub>
            <m:r>
              <m:rPr/>
              <w:rPr>
                <w:rFonts w:ascii="Cambria Math" w:hAnsi="Cambria Math"/>
              </w:rPr>
              <m:t>×</m:t>
            </m:r>
            <m:r>
              <m:rPr/>
              <w:rPr>
                <w:rFonts w:hint="eastAsia" w:ascii="Cambria Math" w:hAnsi="Cambria Math"/>
              </w:rPr>
              <m:t>m</m:t>
            </m:r>
            <m:ctrlPr>
              <w:rPr>
                <w:rFonts w:ascii="Cambria Math" w:hAnsi="Cambria Math"/>
                <w:i/>
              </w:rPr>
            </m:ctrlPr>
          </m:den>
        </m:f>
        <m:r>
          <m:rPr/>
          <w:rPr>
            <w:rFonts w:ascii="Cambria Math" w:hAnsi="Cambria Math"/>
          </w:rPr>
          <m:t>×100%</m:t>
        </m:r>
      </m:oMath>
      <w:r>
        <w:rPr>
          <w:rFonts w:ascii="微软雅黑" w:hAnsi="微软雅黑" w:eastAsia="微软雅黑"/>
        </w:rPr>
        <w:tab/>
      </w:r>
      <w:r>
        <w:t>(A.</w:t>
      </w:r>
      <w:r>
        <w:fldChar w:fldCharType="begin"/>
      </w:r>
      <w:r>
        <w:instrText xml:space="preserve"> seq fulu_equation_133379253160023837 </w:instrText>
      </w:r>
      <w:r>
        <w:fldChar w:fldCharType="separate"/>
      </w:r>
      <w:r>
        <w:t>1</w:t>
      </w:r>
      <w:r>
        <w:fldChar w:fldCharType="end"/>
      </w:r>
      <w:r>
        <w:t>)</w:t>
      </w:r>
    </w:p>
    <w:p w14:paraId="48CF520E">
      <w:pPr>
        <w:pStyle w:val="39"/>
        <w:spacing w:line="360" w:lineRule="auto"/>
        <w:ind w:firstLine="420"/>
      </w:pPr>
      <w:r>
        <w:rPr>
          <w:rFonts w:hint="eastAsia"/>
        </w:rPr>
        <w:t>式中：</w:t>
      </w:r>
    </w:p>
    <w:p w14:paraId="7CA1D79C">
      <w:pPr>
        <w:pStyle w:val="19"/>
        <w:spacing w:line="360" w:lineRule="auto"/>
        <w:ind w:firstLine="420"/>
      </w:pPr>
      <w:r>
        <w:t>A</w:t>
      </w:r>
      <w:r>
        <w:rPr>
          <w:rFonts w:hint="eastAsia"/>
          <w:vertAlign w:val="subscript"/>
        </w:rPr>
        <w:t>样</w:t>
      </w:r>
      <w:r>
        <w:rPr>
          <w:rFonts w:hint="eastAsia"/>
        </w:rPr>
        <w:t>：样品图谱中目标成分的峰面积</w:t>
      </w:r>
    </w:p>
    <w:p w14:paraId="42DE4C3C">
      <w:pPr>
        <w:pStyle w:val="19"/>
        <w:spacing w:line="360" w:lineRule="auto"/>
        <w:ind w:firstLine="420"/>
      </w:pPr>
      <w:r>
        <w:t>C</w:t>
      </w:r>
      <w:r>
        <w:rPr>
          <w:rFonts w:hint="eastAsia"/>
          <w:vertAlign w:val="subscript"/>
        </w:rPr>
        <w:t>标</w:t>
      </w:r>
      <w:r>
        <w:rPr>
          <w:rFonts w:hint="eastAsia"/>
        </w:rPr>
        <w:t>：目标成分对照品溶液的浓度（</w:t>
      </w:r>
      <w:r>
        <w:t>mg/mL</w:t>
      </w:r>
      <w:r>
        <w:rPr>
          <w:rFonts w:hint="eastAsia"/>
        </w:rPr>
        <w:t>）</w:t>
      </w:r>
    </w:p>
    <w:p w14:paraId="68C530FF">
      <w:pPr>
        <w:pStyle w:val="19"/>
        <w:spacing w:line="360" w:lineRule="auto"/>
        <w:ind w:firstLine="420"/>
        <w:rPr>
          <w:rFonts w:hint="eastAsia"/>
        </w:rPr>
      </w:pPr>
      <w:r>
        <w:t>A</w:t>
      </w:r>
      <w:r>
        <w:rPr>
          <w:rFonts w:hint="eastAsia"/>
          <w:vertAlign w:val="subscript"/>
        </w:rPr>
        <w:t>标</w:t>
      </w:r>
      <w:r>
        <w:rPr>
          <w:rFonts w:hint="eastAsia"/>
        </w:rPr>
        <w:t>：对照品图谱中目标成分的峰面积</w:t>
      </w:r>
    </w:p>
    <w:p w14:paraId="4C7CA91B">
      <w:pPr>
        <w:pStyle w:val="31"/>
        <w:numPr>
          <w:ilvl w:val="0"/>
          <w:numId w:val="0"/>
        </w:numPr>
        <w:spacing w:after="156"/>
        <w:ind w:left="0" w:leftChars="0" w:firstLine="0" w:firstLineChars="0"/>
        <w:rPr>
          <w:rFonts w:hint="default" w:eastAsia="黑体"/>
          <w:lang w:val="en-US" w:eastAsia="zh-CN"/>
        </w:rPr>
      </w:pPr>
      <w:r>
        <w:rPr>
          <w:rFonts w:hint="eastAsia" w:ascii="黑体" w:hAnsi="Times New Roman" w:eastAsia="黑体" w:cs="Times New Roman"/>
          <w:spacing w:val="100"/>
          <w:sz w:val="21"/>
          <w:lang w:val="en-US" w:eastAsia="zh-CN" w:bidi="ar-SA"/>
        </w:rPr>
        <w:t>附录</w:t>
      </w:r>
      <w:r>
        <w:rPr>
          <w:rFonts w:hint="eastAsia" w:cs="Times New Roman"/>
          <w:spacing w:val="100"/>
          <w:sz w:val="21"/>
          <w:lang w:val="en-US" w:eastAsia="zh-CN" w:bidi="ar-SA"/>
        </w:rPr>
        <w:t>B</w:t>
      </w:r>
      <w:r>
        <w:br w:type="textWrapping"/>
      </w:r>
      <w:r>
        <w:rPr>
          <w:rFonts w:hint="eastAsia"/>
        </w:rPr>
        <w:t>（资料性）</w:t>
      </w:r>
      <w:r>
        <w:br w:type="textWrapping"/>
      </w:r>
      <w:r>
        <w:rPr>
          <w:rFonts w:hint="eastAsia"/>
        </w:rPr>
        <w:t>人参皂苷Rg</w:t>
      </w:r>
      <w:r>
        <w:t>3</w:t>
      </w:r>
      <w:r>
        <w:rPr>
          <w:rFonts w:hint="eastAsia"/>
          <w:lang w:val="en-US" w:eastAsia="zh-CN"/>
        </w:rPr>
        <w:t>标准品的高效</w:t>
      </w:r>
      <w:r>
        <w:rPr>
          <w:rFonts w:hint="eastAsia"/>
        </w:rPr>
        <w:t>液相色谱</w:t>
      </w:r>
      <w:r>
        <w:rPr>
          <w:rFonts w:hint="eastAsia"/>
          <w:lang w:val="en-US" w:eastAsia="zh-CN"/>
        </w:rPr>
        <w:t>标准图谱和相对保留时间</w:t>
      </w:r>
    </w:p>
    <w:p w14:paraId="091C1840">
      <w:pPr>
        <w:pStyle w:val="32"/>
        <w:numPr>
          <w:ilvl w:val="1"/>
          <w:numId w:val="0"/>
        </w:numPr>
        <w:spacing w:before="156" w:after="156"/>
        <w:ind w:left="0" w:leftChars="0" w:firstLine="0" w:firstLineChars="0"/>
        <w:rPr>
          <w:rFonts w:hint="default"/>
          <w:lang w:val="en-US"/>
        </w:rPr>
      </w:pPr>
      <w:r>
        <w:rPr>
          <w:rFonts w:hint="eastAsia" w:cs="Times New Roman"/>
          <w:b w:val="0"/>
          <w:i w:val="0"/>
          <w:kern w:val="21"/>
          <w:sz w:val="21"/>
          <w:lang w:val="en-US" w:eastAsia="zh-CN" w:bidi="ar-SA"/>
        </w:rPr>
        <w:t>B</w:t>
      </w:r>
      <w:r>
        <w:rPr>
          <w:rFonts w:hint="eastAsia" w:ascii="黑体" w:hAnsi="Times New Roman" w:eastAsia="黑体" w:cs="Times New Roman"/>
          <w:b w:val="0"/>
          <w:i w:val="0"/>
          <w:kern w:val="21"/>
          <w:sz w:val="21"/>
          <w:lang w:val="en-US" w:eastAsia="zh-CN" w:bidi="ar-SA"/>
        </w:rPr>
        <w:t>.1</w:t>
      </w:r>
      <w:r>
        <w:rPr>
          <w:rFonts w:hint="eastAsia" w:cs="Times New Roman"/>
          <w:b w:val="0"/>
          <w:i w:val="0"/>
          <w:kern w:val="21"/>
          <w:sz w:val="21"/>
          <w:lang w:val="en-US" w:eastAsia="zh-CN" w:bidi="ar-SA"/>
        </w:rPr>
        <w:t xml:space="preserve"> </w:t>
      </w:r>
      <w:r>
        <w:rPr>
          <w:rFonts w:hint="eastAsia" w:ascii="宋体" w:hAnsi="Times New Roman" w:eastAsia="宋体" w:cs="Times New Roman"/>
          <w:kern w:val="0"/>
          <w:sz w:val="21"/>
          <w:lang w:val="en-US" w:eastAsia="zh-CN" w:bidi="ar-SA"/>
        </w:rPr>
        <w:t>人参皂苷Rg3标准品的高效液相色谱标准图谱见图B.1</w:t>
      </w:r>
      <w:r>
        <w:rPr>
          <w:rFonts w:hint="eastAsia" w:ascii="宋体" w:eastAsia="宋体" w:cs="Times New Roman"/>
          <w:kern w:val="0"/>
          <w:sz w:val="21"/>
          <w:lang w:val="en-US" w:eastAsia="zh-CN" w:bidi="ar-SA"/>
        </w:rPr>
        <w:t>。</w:t>
      </w:r>
    </w:p>
    <w:p w14:paraId="21BFEB62">
      <w:pPr>
        <w:pStyle w:val="40"/>
        <w:ind w:firstLine="0" w:firstLineChars="0"/>
        <w:jc w:val="both"/>
        <w:rPr>
          <w:rFonts w:hint="eastAsia" w:eastAsia="宋体"/>
          <w:lang w:eastAsia="zh-CN"/>
        </w:rPr>
      </w:pPr>
      <w:r>
        <w:rPr>
          <w:rFonts w:hint="eastAsia" w:eastAsia="宋体"/>
          <w:lang w:eastAsia="zh-CN"/>
        </w:rPr>
        <w:drawing>
          <wp:inline distT="0" distB="0" distL="114300" distR="114300">
            <wp:extent cx="5272405" cy="2757805"/>
            <wp:effectExtent l="0" t="0" r="10795" b="10795"/>
            <wp:docPr id="4" name="图片 4" descr="img_v3_02ir_32c890c6-8869-44fd-b505-83bcceb425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v3_02ir_32c890c6-8869-44fd-b505-83bcceb4257g"/>
                    <pic:cNvPicPr>
                      <a:picLocks noChangeAspect="1"/>
                    </pic:cNvPicPr>
                  </pic:nvPicPr>
                  <pic:blipFill>
                    <a:blip r:embed="rId7"/>
                    <a:stretch>
                      <a:fillRect/>
                    </a:stretch>
                  </pic:blipFill>
                  <pic:spPr>
                    <a:xfrm>
                      <a:off x="0" y="0"/>
                      <a:ext cx="5272405" cy="2757805"/>
                    </a:xfrm>
                    <a:prstGeom prst="rect">
                      <a:avLst/>
                    </a:prstGeom>
                  </pic:spPr>
                </pic:pic>
              </a:graphicData>
            </a:graphic>
          </wp:inline>
        </w:drawing>
      </w:r>
    </w:p>
    <w:p w14:paraId="763A3CDF">
      <w:pPr>
        <w:pStyle w:val="41"/>
        <w:numPr>
          <w:ilvl w:val="0"/>
          <w:numId w:val="0"/>
        </w:numPr>
        <w:spacing w:before="156" w:after="156"/>
      </w:pPr>
      <w:r>
        <w:rPr>
          <w:rFonts w:hint="eastAsia"/>
        </w:rPr>
        <w:t>图</w:t>
      </w:r>
      <w:r>
        <w:rPr>
          <w:rFonts w:hint="eastAsia"/>
          <w:lang w:val="en-US" w:eastAsia="zh-CN"/>
        </w:rPr>
        <w:t>B</w:t>
      </w:r>
      <w:r>
        <w:t xml:space="preserve">.1 </w:t>
      </w:r>
      <w:r>
        <w:rPr>
          <w:rFonts w:hint="eastAsia"/>
        </w:rPr>
        <w:t>人参皂苷Rg</w:t>
      </w:r>
      <w:r>
        <w:t>3</w:t>
      </w:r>
      <w:r>
        <w:rPr>
          <w:rFonts w:hint="eastAsia"/>
          <w:lang w:val="en-US" w:eastAsia="zh-CN"/>
        </w:rPr>
        <w:t>标准品的高效</w:t>
      </w:r>
      <w:r>
        <w:rPr>
          <w:rFonts w:hint="eastAsia"/>
        </w:rPr>
        <w:t>液相色谱</w:t>
      </w:r>
      <w:r>
        <w:rPr>
          <w:rFonts w:hint="eastAsia"/>
          <w:lang w:val="en-US" w:eastAsia="zh-CN"/>
        </w:rPr>
        <w:t>标准图谱</w:t>
      </w:r>
    </w:p>
    <w:p w14:paraId="4FCB85B1">
      <w:pPr>
        <w:pStyle w:val="19"/>
        <w:spacing w:line="360" w:lineRule="auto"/>
        <w:ind w:firstLine="420"/>
        <w:rPr>
          <w:rFonts w:hint="eastAsia" w:eastAsia="宋体"/>
          <w:lang w:eastAsia="zh-CN"/>
        </w:rPr>
      </w:pPr>
      <w:r>
        <w:rPr>
          <w:rFonts w:hint="eastAsia" w:ascii="黑体" w:hAnsi="Times New Roman" w:eastAsia="黑体" w:cs="Times New Roman"/>
          <w:b w:val="0"/>
          <w:i w:val="0"/>
          <w:kern w:val="21"/>
          <w:sz w:val="21"/>
          <w:lang w:val="en-US" w:eastAsia="zh-CN" w:bidi="ar-SA"/>
        </w:rPr>
        <w:t xml:space="preserve">B.2 </w:t>
      </w:r>
      <w:r>
        <w:rPr>
          <w:rFonts w:hint="eastAsia"/>
        </w:rPr>
        <w:t>人参皂苷Rg</w:t>
      </w:r>
      <w:r>
        <w:t>3</w:t>
      </w:r>
      <w:r>
        <w:rPr>
          <w:rFonts w:hint="eastAsia" w:ascii="宋体" w:hAnsi="Times New Roman" w:eastAsia="宋体" w:cs="Times New Roman"/>
          <w:kern w:val="0"/>
          <w:sz w:val="21"/>
          <w:lang w:val="en-US" w:eastAsia="zh-CN" w:bidi="ar-SA"/>
        </w:rPr>
        <w:t>标准品的</w:t>
      </w:r>
      <w:r>
        <w:rPr>
          <w:rFonts w:hint="eastAsia"/>
        </w:rPr>
        <w:t>相对保留时间见表</w:t>
      </w:r>
      <w:r>
        <w:rPr>
          <w:rFonts w:hint="eastAsia"/>
          <w:lang w:val="en-US" w:eastAsia="zh-CN"/>
        </w:rPr>
        <w:t>B</w:t>
      </w:r>
      <w:r>
        <w:t>.1</w:t>
      </w:r>
      <w:r>
        <w:rPr>
          <w:rFonts w:hint="eastAsia"/>
          <w:lang w:eastAsia="zh-CN"/>
        </w:rPr>
        <w:t>。</w:t>
      </w:r>
    </w:p>
    <w:p w14:paraId="79BB46EE">
      <w:pPr>
        <w:pStyle w:val="36"/>
        <w:numPr>
          <w:ilvl w:val="0"/>
          <w:numId w:val="0"/>
        </w:numPr>
        <w:spacing w:before="156" w:after="156"/>
      </w:pPr>
      <w:r>
        <w:rPr>
          <w:rFonts w:hint="eastAsia"/>
        </w:rPr>
        <w:t>表</w:t>
      </w:r>
      <w:r>
        <w:rPr>
          <w:rFonts w:hint="eastAsia"/>
          <w:lang w:val="en-US" w:eastAsia="zh-CN"/>
        </w:rPr>
        <w:t>B</w:t>
      </w:r>
      <w:r>
        <w:rPr>
          <w:rFonts w:hint="eastAsia"/>
        </w:rPr>
        <w:t>.</w:t>
      </w:r>
      <w:r>
        <w:t xml:space="preserve">1 </w:t>
      </w:r>
      <w:r>
        <w:rPr>
          <w:rFonts w:hint="eastAsia"/>
        </w:rPr>
        <w:t>人参皂苷Rg3</w:t>
      </w:r>
      <w:r>
        <w:rPr>
          <w:rFonts w:hint="eastAsia"/>
          <w:lang w:val="en-US" w:eastAsia="zh-CN"/>
        </w:rPr>
        <w:t>标准品的</w:t>
      </w:r>
      <w:r>
        <w:rPr>
          <w:rFonts w:hint="eastAsia"/>
        </w:rPr>
        <w:t>相对保留时间</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7"/>
        <w:gridCol w:w="4169"/>
      </w:tblGrid>
      <w:tr w14:paraId="11783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4667" w:type="dxa"/>
            <w:tcBorders>
              <w:top w:val="single" w:color="auto" w:sz="8" w:space="0"/>
              <w:bottom w:val="single" w:color="auto" w:sz="8" w:space="0"/>
            </w:tcBorders>
            <w:shd w:val="clear" w:color="auto" w:fill="auto"/>
            <w:vAlign w:val="center"/>
          </w:tcPr>
          <w:p w14:paraId="771155BA">
            <w:pPr>
              <w:pStyle w:val="27"/>
            </w:pPr>
            <w:r>
              <w:rPr>
                <w:rFonts w:hint="eastAsia"/>
              </w:rPr>
              <w:t>组分名称</w:t>
            </w:r>
          </w:p>
        </w:tc>
        <w:tc>
          <w:tcPr>
            <w:tcW w:w="4667" w:type="dxa"/>
            <w:tcBorders>
              <w:top w:val="single" w:color="auto" w:sz="8" w:space="0"/>
              <w:bottom w:val="single" w:color="auto" w:sz="8" w:space="0"/>
            </w:tcBorders>
            <w:shd w:val="clear" w:color="auto" w:fill="auto"/>
            <w:vAlign w:val="center"/>
          </w:tcPr>
          <w:p w14:paraId="351CAC0B">
            <w:pPr>
              <w:pStyle w:val="27"/>
            </w:pPr>
            <w:r>
              <w:rPr>
                <w:rFonts w:hint="eastAsia"/>
              </w:rPr>
              <w:t>相对保留时间</w:t>
            </w:r>
          </w:p>
        </w:tc>
      </w:tr>
      <w:tr w14:paraId="4A329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667" w:type="dxa"/>
            <w:tcBorders>
              <w:top w:val="single" w:color="auto" w:sz="8" w:space="0"/>
            </w:tcBorders>
            <w:shd w:val="clear" w:color="auto" w:fill="auto"/>
            <w:vAlign w:val="center"/>
          </w:tcPr>
          <w:p w14:paraId="5BAD9EC2">
            <w:pPr>
              <w:pStyle w:val="27"/>
            </w:pPr>
            <w:r>
              <w:rPr>
                <w:rFonts w:hint="eastAsia"/>
              </w:rPr>
              <w:t>人参皂苷Rg3</w:t>
            </w:r>
          </w:p>
        </w:tc>
        <w:tc>
          <w:tcPr>
            <w:tcW w:w="4667" w:type="dxa"/>
            <w:tcBorders>
              <w:top w:val="single" w:color="auto" w:sz="8" w:space="0"/>
            </w:tcBorders>
            <w:shd w:val="clear" w:color="auto" w:fill="auto"/>
            <w:vAlign w:val="center"/>
          </w:tcPr>
          <w:p w14:paraId="14E643FB">
            <w:pPr>
              <w:pStyle w:val="27"/>
            </w:pPr>
            <w:r>
              <w:t>12.47</w:t>
            </w:r>
          </w:p>
        </w:tc>
      </w:tr>
      <w:bookmarkEnd w:id="26"/>
    </w:tbl>
    <w:p w14:paraId="6EEB2C17">
      <w:pPr>
        <w:pStyle w:val="19"/>
        <w:ind w:firstLine="420"/>
      </w:pPr>
    </w:p>
    <w:p w14:paraId="49DE0C83">
      <w:pPr>
        <w:pStyle w:val="31"/>
        <w:numPr>
          <w:ilvl w:val="0"/>
          <w:numId w:val="0"/>
        </w:numPr>
        <w:spacing w:after="156"/>
        <w:ind w:left="0" w:leftChars="0" w:firstLine="0" w:firstLineChars="0"/>
        <w:rPr>
          <w:rFonts w:hint="eastAsia" w:ascii="黑体" w:hAnsi="Times New Roman" w:eastAsia="黑体" w:cs="Times New Roman"/>
          <w:spacing w:val="100"/>
          <w:sz w:val="21"/>
          <w:lang w:val="en-US" w:eastAsia="zh-CN" w:bidi="ar-SA"/>
        </w:rPr>
      </w:pPr>
    </w:p>
    <w:p w14:paraId="106D7E6A">
      <w:pPr>
        <w:pStyle w:val="31"/>
        <w:numPr>
          <w:ilvl w:val="0"/>
          <w:numId w:val="0"/>
        </w:numPr>
        <w:spacing w:after="156"/>
        <w:ind w:left="0" w:leftChars="0" w:firstLine="0" w:firstLineChars="0"/>
        <w:rPr>
          <w:rFonts w:hint="eastAsia" w:ascii="黑体" w:hAnsi="Times New Roman" w:eastAsia="黑体" w:cs="Times New Roman"/>
          <w:spacing w:val="100"/>
          <w:sz w:val="21"/>
          <w:lang w:val="en-US" w:eastAsia="zh-CN" w:bidi="ar-SA"/>
        </w:rPr>
      </w:pPr>
    </w:p>
    <w:p w14:paraId="605D7429">
      <w:pPr>
        <w:pStyle w:val="31"/>
        <w:numPr>
          <w:ilvl w:val="0"/>
          <w:numId w:val="0"/>
        </w:numPr>
        <w:spacing w:after="156"/>
        <w:ind w:left="0" w:leftChars="0" w:firstLine="0" w:firstLineChars="0"/>
        <w:rPr>
          <w:rFonts w:hint="eastAsia" w:ascii="黑体" w:hAnsi="Times New Roman" w:eastAsia="黑体" w:cs="Times New Roman"/>
          <w:spacing w:val="100"/>
          <w:sz w:val="21"/>
          <w:lang w:val="en-US" w:eastAsia="zh-CN" w:bidi="ar-SA"/>
        </w:rPr>
      </w:pPr>
    </w:p>
    <w:p w14:paraId="2E8A16D8">
      <w:pPr>
        <w:pStyle w:val="19"/>
        <w:ind w:left="0" w:leftChars="0" w:firstLine="0" w:firstLineChars="0"/>
        <w:rPr>
          <w:rFonts w:hint="eastAsia" w:ascii="黑体" w:hAnsi="Times New Roman" w:eastAsia="黑体" w:cs="Times New Roman"/>
          <w:spacing w:val="100"/>
          <w:sz w:val="21"/>
          <w:lang w:val="en-US" w:eastAsia="zh-CN" w:bidi="ar-SA"/>
        </w:rPr>
      </w:pPr>
    </w:p>
    <w:p w14:paraId="1F263BF7">
      <w:pPr>
        <w:pStyle w:val="19"/>
        <w:ind w:left="0" w:leftChars="0" w:firstLine="0" w:firstLineChars="0"/>
        <w:rPr>
          <w:rFonts w:hint="eastAsia" w:ascii="黑体" w:hAnsi="Times New Roman" w:eastAsia="黑体" w:cs="Times New Roman"/>
          <w:spacing w:val="100"/>
          <w:sz w:val="21"/>
          <w:lang w:val="en-US" w:eastAsia="zh-CN" w:bidi="ar-SA"/>
        </w:rPr>
      </w:pPr>
    </w:p>
    <w:p w14:paraId="797AF8D7">
      <w:pPr>
        <w:pStyle w:val="19"/>
        <w:ind w:left="0" w:leftChars="0" w:firstLine="0" w:firstLineChars="0"/>
        <w:rPr>
          <w:rFonts w:hint="eastAsia" w:ascii="黑体" w:hAnsi="Times New Roman" w:eastAsia="黑体" w:cs="Times New Roman"/>
          <w:spacing w:val="100"/>
          <w:sz w:val="21"/>
          <w:lang w:val="en-US" w:eastAsia="zh-CN" w:bidi="ar-SA"/>
        </w:rPr>
      </w:pPr>
    </w:p>
    <w:p w14:paraId="1B71F6CD">
      <w:pPr>
        <w:pStyle w:val="19"/>
        <w:ind w:left="0" w:leftChars="0" w:firstLine="0" w:firstLineChars="0"/>
        <w:rPr>
          <w:rFonts w:hint="eastAsia" w:ascii="黑体" w:hAnsi="Times New Roman" w:eastAsia="黑体" w:cs="Times New Roman"/>
          <w:spacing w:val="100"/>
          <w:sz w:val="21"/>
          <w:lang w:val="en-US" w:eastAsia="zh-CN" w:bidi="ar-SA"/>
        </w:rPr>
      </w:pPr>
    </w:p>
    <w:p w14:paraId="3DBB19C9">
      <w:pPr>
        <w:pStyle w:val="31"/>
        <w:numPr>
          <w:ilvl w:val="0"/>
          <w:numId w:val="0"/>
        </w:numPr>
        <w:spacing w:after="156"/>
        <w:ind w:left="0" w:leftChars="0" w:firstLine="0" w:firstLineChars="0"/>
        <w:rPr>
          <w:rFonts w:hint="eastAsia" w:eastAsia="黑体"/>
          <w:lang w:val="en-US" w:eastAsia="zh-CN"/>
        </w:rPr>
      </w:pPr>
      <w:r>
        <w:rPr>
          <w:rFonts w:hint="eastAsia" w:ascii="黑体" w:hAnsi="Times New Roman" w:eastAsia="黑体" w:cs="Times New Roman"/>
          <w:spacing w:val="100"/>
          <w:sz w:val="21"/>
          <w:lang w:val="en-US" w:eastAsia="zh-CN" w:bidi="ar-SA"/>
        </w:rPr>
        <w:t>附录</w:t>
      </w:r>
      <w:r>
        <w:rPr>
          <w:rFonts w:hint="eastAsia" w:cs="Times New Roman"/>
          <w:spacing w:val="100"/>
          <w:sz w:val="21"/>
          <w:lang w:val="en-US" w:eastAsia="zh-CN" w:bidi="ar-SA"/>
        </w:rPr>
        <w:t>C</w:t>
      </w:r>
      <w:r>
        <w:br w:type="textWrapping"/>
      </w:r>
      <w:r>
        <w:rPr>
          <w:rFonts w:hint="eastAsia"/>
        </w:rPr>
        <w:t>（资料性）</w:t>
      </w:r>
      <w:r>
        <w:br w:type="textWrapping"/>
      </w:r>
      <w:r>
        <w:rPr>
          <w:rFonts w:hint="eastAsia"/>
        </w:rPr>
        <w:t>黑参提取物</w:t>
      </w:r>
      <w:r>
        <w:rPr>
          <w:rFonts w:hint="eastAsia"/>
          <w:lang w:val="en-US" w:eastAsia="zh-CN"/>
        </w:rPr>
        <w:t>高效</w:t>
      </w:r>
      <w:r>
        <w:rPr>
          <w:rFonts w:hint="eastAsia"/>
        </w:rPr>
        <w:t>液相色谱图</w:t>
      </w:r>
      <w:r>
        <w:rPr>
          <w:rFonts w:hint="eastAsia"/>
          <w:lang w:val="en-US" w:eastAsia="zh-CN"/>
        </w:rPr>
        <w:t>谱</w:t>
      </w:r>
    </w:p>
    <w:p w14:paraId="0FBE9AA8">
      <w:pPr>
        <w:pStyle w:val="19"/>
        <w:spacing w:line="360" w:lineRule="auto"/>
        <w:ind w:firstLine="420"/>
        <w:rPr>
          <w:rFonts w:hint="eastAsia" w:eastAsia="宋体"/>
          <w:lang w:eastAsia="zh-CN"/>
        </w:rPr>
      </w:pPr>
      <w:r>
        <w:rPr>
          <w:rFonts w:hint="eastAsia" w:ascii="黑体" w:hAnsi="黑体" w:eastAsia="黑体" w:cs="黑体"/>
          <w:b w:val="0"/>
          <w:i w:val="0"/>
          <w:kern w:val="21"/>
          <w:sz w:val="21"/>
          <w:lang w:val="en-US" w:eastAsia="zh-CN" w:bidi="ar-SA"/>
        </w:rPr>
        <w:t>C.1</w:t>
      </w:r>
      <w:r>
        <w:rPr>
          <w:rFonts w:hint="eastAsia" w:cs="Times New Roman"/>
          <w:b w:val="0"/>
          <w:i w:val="0"/>
          <w:kern w:val="21"/>
          <w:sz w:val="21"/>
          <w:lang w:val="en-US" w:eastAsia="zh-CN" w:bidi="ar-SA"/>
        </w:rPr>
        <w:t xml:space="preserve"> </w:t>
      </w:r>
      <w:r>
        <w:rPr>
          <w:rFonts w:hint="eastAsia"/>
        </w:rPr>
        <w:t>黑参提取物</w:t>
      </w:r>
      <w:r>
        <w:rPr>
          <w:rFonts w:hint="eastAsia"/>
          <w:lang w:val="en-US" w:eastAsia="zh-CN"/>
        </w:rPr>
        <w:t>高效</w:t>
      </w:r>
      <w:r>
        <w:rPr>
          <w:rFonts w:hint="eastAsia"/>
        </w:rPr>
        <w:t>液相色谱图</w:t>
      </w:r>
      <w:r>
        <w:rPr>
          <w:rFonts w:hint="eastAsia"/>
          <w:lang w:val="en-US" w:eastAsia="zh-CN"/>
        </w:rPr>
        <w:t>谱见图C</w:t>
      </w:r>
      <w:r>
        <w:t>.1</w:t>
      </w:r>
      <w:r>
        <w:rPr>
          <w:rFonts w:hint="eastAsia"/>
          <w:lang w:eastAsia="zh-CN"/>
        </w:rPr>
        <w:t>。</w:t>
      </w:r>
    </w:p>
    <w:p w14:paraId="0DC4D0E7">
      <w:pPr>
        <w:pStyle w:val="40"/>
        <w:ind w:firstLine="360"/>
        <w:jc w:val="center"/>
      </w:pPr>
      <w:r>
        <w:drawing>
          <wp:inline distT="0" distB="0" distL="0" distR="0">
            <wp:extent cx="5397500" cy="2903220"/>
            <wp:effectExtent l="0" t="0" r="0" b="5080"/>
            <wp:docPr id="3" name="图片 3" descr="C:\Users\hean\Downloads\20231127-10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ean\Downloads\20231127-1018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28613" cy="2920420"/>
                    </a:xfrm>
                    <a:prstGeom prst="rect">
                      <a:avLst/>
                    </a:prstGeom>
                    <a:noFill/>
                    <a:ln>
                      <a:noFill/>
                    </a:ln>
                  </pic:spPr>
                </pic:pic>
              </a:graphicData>
            </a:graphic>
          </wp:inline>
        </w:drawing>
      </w:r>
    </w:p>
    <w:p w14:paraId="0DB95629">
      <w:pPr>
        <w:pStyle w:val="41"/>
        <w:numPr>
          <w:ilvl w:val="0"/>
          <w:numId w:val="0"/>
        </w:numPr>
        <w:spacing w:before="156" w:after="156"/>
        <w:rPr>
          <w:rFonts w:hint="eastAsia" w:eastAsia="黑体"/>
          <w:lang w:val="en-US" w:eastAsia="zh-CN"/>
        </w:rPr>
      </w:pPr>
      <w:r>
        <w:rPr>
          <w:rFonts w:hint="eastAsia"/>
        </w:rPr>
        <w:t>图</w:t>
      </w:r>
      <w:r>
        <w:rPr>
          <w:rFonts w:hint="eastAsia"/>
          <w:lang w:val="en-US" w:eastAsia="zh-CN"/>
        </w:rPr>
        <w:t>C</w:t>
      </w:r>
      <w:r>
        <w:t xml:space="preserve">.1 </w:t>
      </w:r>
      <w:r>
        <w:rPr>
          <w:rFonts w:hint="eastAsia"/>
        </w:rPr>
        <w:t>黑参提取物</w:t>
      </w:r>
      <w:r>
        <w:rPr>
          <w:rFonts w:hint="eastAsia"/>
          <w:lang w:val="en-US" w:eastAsia="zh-CN"/>
        </w:rPr>
        <w:t>高效</w:t>
      </w:r>
      <w:r>
        <w:rPr>
          <w:rFonts w:hint="eastAsia"/>
        </w:rPr>
        <w:t>液相色谱图</w:t>
      </w:r>
      <w:bookmarkStart w:id="29" w:name="_GoBack"/>
      <w:bookmarkEnd w:id="29"/>
      <w:r>
        <w:rPr>
          <w:rFonts w:hint="eastAsia"/>
          <w:lang w:val="en-US" w:eastAsia="zh-CN"/>
        </w:rPr>
        <w:t>谱</w:t>
      </w:r>
    </w:p>
    <w:p w14:paraId="7A837116">
      <w:pPr>
        <w:pStyle w:val="19"/>
        <w:ind w:firstLine="420"/>
      </w:pPr>
    </w:p>
    <w:p w14:paraId="305A1D55">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lang w:val="en-US" w:eastAsia="zh-CN"/>
        </w:rPr>
      </w:pPr>
      <w:r>
        <w:rPr>
          <w:rFonts w:hint="eastAsia" w:ascii="黑体" w:hAnsi="黑体" w:eastAsia="黑体" w:cs="黑体"/>
          <w:lang w:val="en-US" w:eastAsia="zh-CN"/>
        </w:rPr>
        <w:t>参</w:t>
      </w:r>
      <w:r>
        <w:rPr>
          <w:rFonts w:hint="eastAsia" w:ascii="黑体" w:hAnsi="黑体" w:eastAsia="黑体" w:cs="黑体"/>
          <w:lang w:eastAsia="zh-CN"/>
        </w:rPr>
        <w:t xml:space="preserve"> </w:t>
      </w:r>
      <w:r>
        <w:rPr>
          <w:rFonts w:hint="eastAsia" w:ascii="黑体" w:hAnsi="黑体" w:eastAsia="黑体" w:cs="黑体"/>
          <w:lang w:val="en-US" w:eastAsia="zh-CN"/>
        </w:rPr>
        <w:t>考 文 献</w:t>
      </w:r>
    </w:p>
    <w:p w14:paraId="5CBB0C33">
      <w:pPr>
        <w:pStyle w:val="2"/>
        <w:numPr>
          <w:ilvl w:val="-1"/>
          <w:numId w:val="0"/>
        </w:numPr>
        <w:spacing w:line="360" w:lineRule="auto"/>
        <w:ind w:firstLine="0" w:firstLineChars="0"/>
        <w:rPr>
          <w:rFonts w:hint="eastAsia" w:ascii="宋体" w:hAnsi="宋体" w:cs="宋体"/>
          <w:kern w:val="0"/>
          <w:sz w:val="21"/>
          <w:szCs w:val="21"/>
          <w:lang w:val="en-US"/>
        </w:rPr>
      </w:pPr>
      <w:r>
        <w:rPr>
          <w:rFonts w:hint="eastAsia" w:ascii="宋体" w:hAnsi="宋体" w:cs="宋体"/>
          <w:kern w:val="0"/>
          <w:sz w:val="21"/>
          <w:szCs w:val="21"/>
          <w:lang w:val="en-US" w:eastAsia="zh-CN"/>
        </w:rPr>
        <w:t>[1]</w:t>
      </w:r>
      <w:r>
        <w:rPr>
          <w:rFonts w:hint="eastAsia" w:ascii="宋体" w:hAnsi="宋体" w:cs="宋体"/>
          <w:kern w:val="0"/>
          <w:sz w:val="21"/>
          <w:szCs w:val="21"/>
          <w:lang w:val="en-US"/>
        </w:rPr>
        <w:t>《化妆品安全技术规范》（2015年版）（国家食品药品监督管理总局公告2015年第268号）</w:t>
      </w:r>
    </w:p>
    <w:p w14:paraId="773C1FA8">
      <w:pPr>
        <w:pStyle w:val="2"/>
        <w:numPr>
          <w:ilvl w:val="-1"/>
          <w:numId w:val="0"/>
        </w:numPr>
        <w:spacing w:line="360" w:lineRule="auto"/>
        <w:ind w:firstLine="0" w:firstLineChars="0"/>
        <w:rPr>
          <w:rFonts w:hint="eastAsia" w:ascii="宋体" w:hAnsi="宋体" w:cs="宋体"/>
          <w:kern w:val="0"/>
          <w:sz w:val="21"/>
          <w:szCs w:val="21"/>
          <w:lang w:val="en-US"/>
        </w:rPr>
      </w:pPr>
      <w:r>
        <w:rPr>
          <w:rFonts w:hint="eastAsia" w:ascii="宋体" w:hAnsi="宋体" w:cs="宋体"/>
          <w:kern w:val="0"/>
          <w:sz w:val="21"/>
          <w:szCs w:val="21"/>
          <w:lang w:val="en-US" w:eastAsia="zh-CN"/>
        </w:rPr>
        <w:t>[2]</w:t>
      </w:r>
      <w:r>
        <w:rPr>
          <w:rFonts w:hint="eastAsia" w:ascii="宋体" w:hAnsi="宋体" w:cs="宋体"/>
          <w:kern w:val="0"/>
          <w:sz w:val="21"/>
          <w:szCs w:val="21"/>
          <w:lang w:val="en-US"/>
        </w:rPr>
        <w:t>《化妆品标签管理办法》（国家食品药品监督管理总局公告 2021 年第 77 号）</w:t>
      </w:r>
    </w:p>
    <w:p w14:paraId="27CA96DF">
      <w:pPr>
        <w:pStyle w:val="2"/>
        <w:numPr>
          <w:ilvl w:val="-1"/>
          <w:numId w:val="0"/>
        </w:numPr>
        <w:spacing w:line="360" w:lineRule="auto"/>
        <w:ind w:firstLine="0" w:firstLineChars="0"/>
        <w:rPr>
          <w:rFonts w:hint="eastAsia" w:ascii="宋体" w:hAnsi="宋体" w:cs="宋体"/>
          <w:kern w:val="0"/>
          <w:sz w:val="21"/>
          <w:szCs w:val="21"/>
          <w:lang w:val="en-US"/>
        </w:rPr>
      </w:pPr>
      <w:r>
        <w:rPr>
          <w:rFonts w:hint="eastAsia" w:ascii="宋体" w:hAnsi="宋体" w:cs="宋体"/>
          <w:kern w:val="0"/>
          <w:sz w:val="21"/>
          <w:szCs w:val="21"/>
          <w:lang w:val="en-US" w:eastAsia="zh-CN"/>
        </w:rPr>
        <w:t>[3]</w:t>
      </w:r>
      <w:r>
        <w:rPr>
          <w:rFonts w:hint="eastAsia" w:ascii="宋体" w:hAnsi="宋体" w:cs="宋体"/>
          <w:kern w:val="0"/>
          <w:sz w:val="21"/>
          <w:szCs w:val="21"/>
          <w:lang w:val="en-US"/>
        </w:rPr>
        <w:t>《中华人民共和国药典（2020版）》一部 药材和饮片 枸杞子</w:t>
      </w:r>
    </w:p>
    <w:p w14:paraId="061B21DB">
      <w:pPr>
        <w:spacing w:line="360" w:lineRule="auto"/>
        <w:rPr>
          <w:rFonts w:hint="default" w:eastAsiaTheme="minorEastAsia"/>
          <w:lang w:val="en-US" w:eastAsia="zh-CN"/>
        </w:rPr>
      </w:pPr>
      <w:r>
        <w:rPr>
          <w:rFonts w:hint="eastAsia" w:ascii="宋体" w:hAnsi="宋体" w:cs="宋体"/>
          <w:kern w:val="0"/>
          <w:sz w:val="21"/>
          <w:szCs w:val="21"/>
          <w:lang w:val="en-US" w:eastAsia="zh-CN"/>
        </w:rPr>
        <w:t>[4]《中华人民共和国药典（2020版）》一部植物油脂和提取物 人参总皂苷</w:t>
      </w:r>
    </w:p>
    <w:p w14:paraId="1F0030EC">
      <w:pPr>
        <w:framePr w:w="3105" w:hSpace="181" w:vSpace="181" w:wrap="around" w:vAnchor="text" w:hAnchor="page" w:x="4642" w:y="4455"/>
        <w:numPr>
          <w:ilvl w:val="0"/>
          <w:numId w:val="0"/>
        </w:numPr>
        <w:rPr>
          <w:rFonts w:ascii="Times New Roman"/>
        </w:rPr>
      </w:pPr>
    </w:p>
    <w:p w14:paraId="3E3CAD66">
      <w:pPr>
        <w:framePr w:w="3105" w:hSpace="181" w:vSpace="181" w:wrap="around" w:vAnchor="text" w:hAnchor="page" w:x="4642" w:y="4455"/>
        <w:jc w:val="center"/>
        <w:rPr>
          <w:kern w:val="0"/>
          <w:szCs w:val="20"/>
        </w:rPr>
      </w:pPr>
      <w:r>
        <w:t>________________________</w:t>
      </w:r>
    </w:p>
    <w:p w14:paraId="06FAB17A">
      <w:r>
        <mc:AlternateContent>
          <mc:Choice Requires="wps">
            <w:drawing>
              <wp:anchor distT="0" distB="0" distL="114300" distR="114300" simplePos="0" relativeHeight="251659264" behindDoc="0" locked="0" layoutInCell="1" allowOverlap="1">
                <wp:simplePos x="0" y="0"/>
                <wp:positionH relativeFrom="column">
                  <wp:posOffset>4237355</wp:posOffset>
                </wp:positionH>
                <wp:positionV relativeFrom="paragraph">
                  <wp:posOffset>8157210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p>
                        </w:txbxContent>
                      </wps:txbx>
                      <wps:bodyPr wrap="square" upright="1"/>
                    </wps:wsp>
                  </a:graphicData>
                </a:graphic>
              </wp:anchor>
            </w:drawing>
          </mc:Choice>
          <mc:Fallback>
            <w:pict>
              <v:shape id="文本框 34" o:spid="_x0000_s1026" o:spt="202" type="#_x0000_t202" style="position:absolute;left:0pt;margin-left:333.65pt;margin-top:642.3pt;height:31.2pt;width:52.5pt;z-index:251659264;mso-width-relative:page;mso-height-relative:page;" filled="f" stroked="f" coordsize="21600,21600" o:gfxdata="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CKIvZAAAADQEAAA8AAAAAAAAAAQAgAAAAIgAAAGRycy9kb3ducmV2LnhtbFBLAQIU&#10;ABQAAAAIAIdO4kASogAfuQEAAFwDAAAOAAAAAAAAAAEAIAAAACgBAABkcnMvZTJvRG9jLnhtbFBL&#10;BQYAAAAABgAGAFkBAABTBQAAAAA=&#10;">
                <v:fill on="f" focussize="0,0"/>
                <v:stroke on="f"/>
                <v:imagedata o:title=""/>
                <o:lock v:ext="edit" aspectratio="f"/>
                <v:textbox>
                  <w:txbxContent>
                    <w:p w14:paraId="2879EED9">
                      <w:pPr>
                        <w:rPr>
                          <w:rFonts w:ascii="黑体" w:eastAsia="黑体"/>
                          <w:sz w:val="30"/>
                          <w:szCs w:val="30"/>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A384">
    <w:pPr>
      <w:pStyle w:val="43"/>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2B5B">
    <w:pPr>
      <w:pStyle w:val="6"/>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4C50F90"/>
    <w:multiLevelType w:val="multilevel"/>
    <w:tmpl w:val="44C50F90"/>
    <w:lvl w:ilvl="0" w:tentative="0">
      <w:start w:val="1"/>
      <w:numFmt w:val="lowerLetter"/>
      <w:pStyle w:val="2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8802D1C"/>
    <w:multiLevelType w:val="multilevel"/>
    <w:tmpl w:val="48802D1C"/>
    <w:lvl w:ilvl="0" w:tentative="0">
      <w:start w:val="1"/>
      <w:numFmt w:val="upperLetter"/>
      <w:pStyle w:val="29"/>
      <w:lvlText w:val="%1"/>
      <w:lvlJc w:val="left"/>
      <w:pPr>
        <w:ind w:left="420" w:hanging="420"/>
      </w:pPr>
      <w:rPr>
        <w:rFonts w:hint="eastAsia"/>
      </w:rPr>
    </w:lvl>
    <w:lvl w:ilvl="1" w:tentative="0">
      <w:start w:val="1"/>
      <w:numFmt w:val="decimal"/>
      <w:pStyle w:val="41"/>
      <w:suff w:val="space"/>
      <w:lvlText w:val="图%1.%2"/>
      <w:lvlJc w:val="center"/>
      <w:pPr>
        <w:ind w:left="3543"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603797C"/>
    <w:multiLevelType w:val="multilevel"/>
    <w:tmpl w:val="5603797C"/>
    <w:lvl w:ilvl="0" w:tentative="0">
      <w:start w:val="1"/>
      <w:numFmt w:val="upperLetter"/>
      <w:pStyle w:val="30"/>
      <w:suff w:val="space"/>
      <w:lvlText w:val="%1"/>
      <w:lvlJc w:val="left"/>
      <w:pPr>
        <w:ind w:left="425" w:hanging="425"/>
      </w:pPr>
      <w:rPr>
        <w:rFonts w:hint="eastAsia"/>
      </w:rPr>
    </w:lvl>
    <w:lvl w:ilvl="1" w:tentative="0">
      <w:start w:val="1"/>
      <w:numFmt w:val="decimal"/>
      <w:pStyle w:val="36"/>
      <w:suff w:val="space"/>
      <w:lvlText w:val="表%1.%2"/>
      <w:lvlJc w:val="center"/>
      <w:pPr>
        <w:ind w:left="2835"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46260FA"/>
    <w:multiLevelType w:val="multilevel"/>
    <w:tmpl w:val="646260FA"/>
    <w:lvl w:ilvl="0" w:tentative="0">
      <w:start w:val="1"/>
      <w:numFmt w:val="decimal"/>
      <w:pStyle w:val="2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57D3FBC"/>
    <w:multiLevelType w:val="multilevel"/>
    <w:tmpl w:val="657D3FBC"/>
    <w:lvl w:ilvl="0" w:tentative="0">
      <w:start w:val="1"/>
      <w:numFmt w:val="upperLetter"/>
      <w:pStyle w:val="31"/>
      <w:suff w:val="nothing"/>
      <w:lvlText w:val="附录%1"/>
      <w:lvlJc w:val="left"/>
      <w:pPr>
        <w:ind w:left="0" w:firstLine="0"/>
      </w:pPr>
      <w:rPr>
        <w:rFonts w:hint="eastAsia"/>
        <w:spacing w:val="100"/>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eastAsia="黑体"/>
        <w:b w:val="0"/>
        <w:i w:val="0"/>
        <w:sz w:val="21"/>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43F54"/>
    <w:rsid w:val="065578E8"/>
    <w:rsid w:val="06EC4ECA"/>
    <w:rsid w:val="0F0E5742"/>
    <w:rsid w:val="10A06149"/>
    <w:rsid w:val="11643F54"/>
    <w:rsid w:val="187B08E5"/>
    <w:rsid w:val="26917C80"/>
    <w:rsid w:val="2A644924"/>
    <w:rsid w:val="407B45A5"/>
    <w:rsid w:val="474A02A7"/>
    <w:rsid w:val="4A272A9A"/>
    <w:rsid w:val="58191195"/>
    <w:rsid w:val="639050EC"/>
    <w:rsid w:val="68E24E0A"/>
    <w:rsid w:val="74EE0377"/>
    <w:rsid w:val="7533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3">
    <w:name w:val="annotation text"/>
    <w:basedOn w:val="1"/>
    <w:qFormat/>
    <w:uiPriority w:val="0"/>
    <w:pPr>
      <w:jc w:val="left"/>
    </w:pPr>
  </w:style>
  <w:style w:type="paragraph" w:styleId="4">
    <w:name w:val="Body Text"/>
    <w:basedOn w:val="1"/>
    <w:qFormat/>
    <w:uiPriority w:val="99"/>
    <w:pPr>
      <w:tabs>
        <w:tab w:val="left" w:pos="8280"/>
      </w:tabs>
    </w:pPr>
    <w:rPr>
      <w:kern w:val="0"/>
      <w:sz w:val="24"/>
    </w:rPr>
  </w:style>
  <w:style w:type="paragraph" w:styleId="5">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6">
    <w:name w:val="header"/>
    <w:basedOn w:val="1"/>
    <w:qFormat/>
    <w:uiPriority w:val="99"/>
    <w:pPr>
      <w:tabs>
        <w:tab w:val="center" w:pos="4153"/>
        <w:tab w:val="right" w:pos="8306"/>
      </w:tabs>
      <w:adjustRightInd/>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封面正文"/>
    <w:qFormat/>
    <w:uiPriority w:val="99"/>
    <w:pPr>
      <w:jc w:val="both"/>
    </w:pPr>
    <w:rPr>
      <w:rFonts w:ascii="Times New Roman" w:hAnsi="Times New Roman" w:eastAsia="宋体" w:cs="Times New Roman"/>
      <w:lang w:val="en-US" w:eastAsia="zh-CN" w:bidi="ar-SA"/>
    </w:rPr>
  </w:style>
  <w:style w:type="paragraph" w:customStyle="1" w:styleId="11">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1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
    <w:name w:val="实施日期"/>
    <w:basedOn w:val="15"/>
    <w:qFormat/>
    <w:uiPriority w:val="99"/>
    <w:pPr>
      <w:framePr w:hSpace="0" w:wrap="around" w:xAlign="right"/>
      <w:jc w:val="right"/>
    </w:pPr>
  </w:style>
  <w:style w:type="paragraph" w:customStyle="1" w:styleId="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
    <w:name w:val="发布部门"/>
    <w:next w:val="17"/>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1">
    <w:name w:val="标准文件_章标题"/>
    <w:next w:val="1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一级无标题"/>
    <w:basedOn w:val="23"/>
    <w:qFormat/>
    <w:uiPriority w:val="0"/>
    <w:pPr>
      <w:spacing w:before="0" w:beforeLines="0" w:after="0" w:afterLines="0"/>
      <w:outlineLvl w:val="9"/>
    </w:pPr>
    <w:rPr>
      <w:rFonts w:ascii="宋体" w:eastAsia="宋体"/>
    </w:rPr>
  </w:style>
  <w:style w:type="paragraph" w:customStyle="1" w:styleId="23">
    <w:name w:val="标准文件_一级条标题"/>
    <w:basedOn w:val="21"/>
    <w:next w:val="19"/>
    <w:qFormat/>
    <w:uiPriority w:val="0"/>
    <w:pPr>
      <w:numPr>
        <w:ilvl w:val="2"/>
      </w:numPr>
      <w:spacing w:before="50" w:beforeLines="50" w:after="50" w:afterLines="50"/>
      <w:outlineLvl w:val="1"/>
    </w:pPr>
  </w:style>
  <w:style w:type="paragraph" w:customStyle="1" w:styleId="24">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5">
    <w:name w:val="标准文件_二级条标题"/>
    <w:next w:val="1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正文表标题"/>
    <w:next w:val="19"/>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7">
    <w:name w:val="标准文件_表格"/>
    <w:basedOn w:val="19"/>
    <w:qFormat/>
    <w:uiPriority w:val="0"/>
    <w:pPr>
      <w:ind w:firstLine="0" w:firstLineChars="0"/>
      <w:jc w:val="center"/>
    </w:pPr>
    <w:rPr>
      <w:sz w:val="18"/>
    </w:rPr>
  </w:style>
  <w:style w:type="paragraph" w:customStyle="1" w:styleId="28">
    <w:name w:val="标准文件_二级无标题"/>
    <w:basedOn w:val="25"/>
    <w:qFormat/>
    <w:uiPriority w:val="0"/>
    <w:pPr>
      <w:spacing w:before="0" w:beforeLines="0" w:after="0" w:afterLines="0"/>
      <w:outlineLvl w:val="9"/>
    </w:pPr>
    <w:rPr>
      <w:rFonts w:ascii="宋体" w:eastAsia="宋体"/>
    </w:rPr>
  </w:style>
  <w:style w:type="paragraph" w:customStyle="1" w:styleId="29">
    <w:name w:val="标准文件_附录图标号"/>
    <w:basedOn w:val="19"/>
    <w:next w:val="1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30">
    <w:name w:val="标准文件_附录表标号"/>
    <w:basedOn w:val="19"/>
    <w:next w:val="19"/>
    <w:qFormat/>
    <w:uiPriority w:val="0"/>
    <w:pPr>
      <w:numPr>
        <w:ilvl w:val="0"/>
        <w:numId w:val="6"/>
      </w:numPr>
      <w:spacing w:line="14" w:lineRule="exact"/>
      <w:ind w:firstLine="0" w:firstLineChars="0"/>
      <w:jc w:val="center"/>
    </w:pPr>
    <w:rPr>
      <w:rFonts w:eastAsia="黑体"/>
      <w:vanish/>
      <w:sz w:val="2"/>
    </w:rPr>
  </w:style>
  <w:style w:type="paragraph" w:customStyle="1" w:styleId="31">
    <w:name w:val="标准文件_附录标识"/>
    <w:next w:val="19"/>
    <w:qFormat/>
    <w:uiPriority w:val="0"/>
    <w:pPr>
      <w:numPr>
        <w:ilvl w:val="0"/>
        <w:numId w:val="7"/>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2">
    <w:name w:val="标准文件_附录一级条标题"/>
    <w:next w:val="19"/>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3">
    <w:name w:val="标准文件_附录二级条标题"/>
    <w:basedOn w:val="32"/>
    <w:next w:val="19"/>
    <w:qFormat/>
    <w:uiPriority w:val="0"/>
    <w:pPr>
      <w:widowControl/>
      <w:numPr>
        <w:ilvl w:val="2"/>
      </w:numPr>
      <w:wordWrap w:val="0"/>
      <w:overflowPunct w:val="0"/>
      <w:autoSpaceDE w:val="0"/>
      <w:autoSpaceDN w:val="0"/>
      <w:textAlignment w:val="baseline"/>
      <w:outlineLvl w:val="3"/>
    </w:pPr>
  </w:style>
  <w:style w:type="paragraph" w:customStyle="1" w:styleId="34">
    <w:name w:val="标准文件_附录三级无标题"/>
    <w:basedOn w:val="35"/>
    <w:qFormat/>
    <w:uiPriority w:val="0"/>
    <w:pPr>
      <w:spacing w:before="0" w:beforeLines="0" w:after="0" w:afterLines="0" w:line="276" w:lineRule="auto"/>
      <w:outlineLvl w:val="9"/>
    </w:pPr>
    <w:rPr>
      <w:rFonts w:ascii="宋体" w:eastAsia="宋体"/>
    </w:rPr>
  </w:style>
  <w:style w:type="paragraph" w:customStyle="1" w:styleId="35">
    <w:name w:val="标准文件_附录三级条标题"/>
    <w:next w:val="19"/>
    <w:qFormat/>
    <w:uiPriority w:val="0"/>
    <w:pPr>
      <w:widowControl w:val="0"/>
      <w:numPr>
        <w:ilvl w:val="3"/>
        <w:numId w:val="7"/>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36">
    <w:name w:val="标准文件_附录表标题"/>
    <w:next w:val="19"/>
    <w:qFormat/>
    <w:uiPriority w:val="0"/>
    <w:pPr>
      <w:numPr>
        <w:ilvl w:val="1"/>
        <w:numId w:val="6"/>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37">
    <w:name w:val="标准文件_附录二级无标题"/>
    <w:basedOn w:val="33"/>
    <w:qFormat/>
    <w:uiPriority w:val="0"/>
    <w:pPr>
      <w:spacing w:before="0" w:beforeLines="0" w:after="0" w:afterLines="0" w:line="276" w:lineRule="auto"/>
      <w:outlineLvl w:val="9"/>
    </w:pPr>
    <w:rPr>
      <w:rFonts w:ascii="宋体" w:eastAsia="宋体"/>
    </w:rPr>
  </w:style>
  <w:style w:type="paragraph" w:customStyle="1" w:styleId="38">
    <w:name w:val="标准文件_正文公式"/>
    <w:basedOn w:val="1"/>
    <w:next w:val="39"/>
    <w:qFormat/>
    <w:uiPriority w:val="0"/>
    <w:pPr>
      <w:tabs>
        <w:tab w:val="center" w:pos="4678"/>
        <w:tab w:val="right" w:leader="middleDot" w:pos="9356"/>
      </w:tabs>
      <w:spacing w:line="240" w:lineRule="auto"/>
    </w:pPr>
    <w:rPr>
      <w:rFonts w:ascii="宋体" w:hAnsi="宋体"/>
    </w:rPr>
  </w:style>
  <w:style w:type="paragraph" w:customStyle="1" w:styleId="39">
    <w:name w:val="标准文件_标准正文"/>
    <w:basedOn w:val="1"/>
    <w:next w:val="19"/>
    <w:qFormat/>
    <w:uiPriority w:val="0"/>
    <w:pPr>
      <w:snapToGrid w:val="0"/>
      <w:ind w:firstLine="200" w:firstLineChars="200"/>
    </w:pPr>
    <w:rPr>
      <w:kern w:val="0"/>
    </w:rPr>
  </w:style>
  <w:style w:type="paragraph" w:customStyle="1" w:styleId="40">
    <w:name w:val="标准文件_示例内容"/>
    <w:basedOn w:val="19"/>
    <w:qFormat/>
    <w:uiPriority w:val="0"/>
    <w:pPr>
      <w:ind w:firstLine="420"/>
    </w:pPr>
    <w:rPr>
      <w:sz w:val="18"/>
    </w:rPr>
  </w:style>
  <w:style w:type="paragraph" w:customStyle="1" w:styleId="41">
    <w:name w:val="标准文件_附录图标题"/>
    <w:next w:val="19"/>
    <w:qFormat/>
    <w:uiPriority w:val="0"/>
    <w:pPr>
      <w:numPr>
        <w:ilvl w:val="1"/>
        <w:numId w:val="5"/>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4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3">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00c373-494f-4619-b055-c1ff830b0658}"/>
        <w:style w:val=""/>
        <w:category>
          <w:name w:val="常规"/>
          <w:gallery w:val="placeholder"/>
        </w:category>
        <w:types>
          <w:type w:val="bbPlcHdr"/>
        </w:types>
        <w:behaviors>
          <w:behavior w:val="content"/>
        </w:behaviors>
        <w:description w:val=""/>
        <w:guid w:val="{7200c373-494f-4619-b055-c1ff830b0658}"/>
      </w:docPartPr>
      <w:docPartBody>
        <w:p w14:paraId="01EF3497">
          <w:pPr>
            <w:pStyle w:val="2"/>
          </w:pPr>
          <w:r>
            <w:rPr>
              <w:rStyle w:val="3"/>
              <w:rFonts w:hint="eastAsia"/>
            </w:rPr>
            <w:t>单击或点击此处输入文字。</w:t>
          </w:r>
        </w:p>
      </w:docPartBody>
    </w:docPart>
    <w:docPart>
      <w:docPartPr>
        <w:name w:val="{3b2d7bff-6fa9-47b3-91ef-dc09ee0a79f0}"/>
        <w:style w:val=""/>
        <w:category>
          <w:name w:val="常规"/>
          <w:gallery w:val="placeholder"/>
        </w:category>
        <w:types>
          <w:type w:val="bbPlcHdr"/>
        </w:types>
        <w:behaviors>
          <w:behavior w:val="content"/>
        </w:behaviors>
        <w:description w:val=""/>
        <w:guid w:val="{3b2d7bff-6fa9-47b3-91ef-dc09ee0a79f0}"/>
      </w:docPartPr>
      <w:docPartBody>
        <w:p w14:paraId="6B2F2776">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nhideWhenUsed="0" w:uiPriority="99" w:name="Placeholder Text"/>
  </w:latentStyles>
  <w:style w:type="character" w:default="1" w:styleId="1">
    <w:name w:val="Default Paragraph Font"/>
    <w:semiHidden/>
    <w:unhideWhenUsed/>
    <w:uiPriority w:val="1"/>
  </w:style>
  <w:style w:type="paragraph" w:customStyle="1" w:styleId="2">
    <w:name w:val="627521F1AD9E4682A89E3A3199A1829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basedOn w:val="1"/>
    <w:semiHidden/>
    <w:qFormat/>
    <w:uiPriority w:val="99"/>
    <w:rPr>
      <w:color w:val="808080"/>
    </w:rPr>
  </w:style>
  <w:style w:type="paragraph" w:customStyle="1" w:styleId="4">
    <w:name w:val="DBA9E25A8AEF4E2E893C725FBAF4A98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
    <w:name w:val="0BCC2A95242346108A869821E7C9D7A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3530</Words>
  <Characters>4203</Characters>
  <Lines>0</Lines>
  <Paragraphs>0</Paragraphs>
  <TotalTime>14</TotalTime>
  <ScaleCrop>false</ScaleCrop>
  <LinksUpToDate>false</LinksUpToDate>
  <CharactersWithSpaces>4342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2025-01-06T07:50:00Z</dcterms:created>
  <dc:creator>Pluto</dc:creator>
  <cp:lastModifiedBy>张鹏</cp:lastModifiedBy>
  <dcterms:modified xsi:type="dcterms:W3CDTF">2025-02-05T11:06:12Z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C640093D5BFC4ACB89AA222A2903339E_13</vt:lpwstr>
  </property>
  <property fmtid="{D5CDD505-2E9C-101B-9397-08002B2CF9AE}" pid="4" name="KSOTemplateDocerSaveRecord">
    <vt:lpwstr>eyJoZGlkIjoiMTk3ZWNkMDQ4YTc3MWUyNjlhOGM5NGJhMTViZGQwYWYiLCJ1c2VySWQiOiIyNTQ1NzYyMzUifQ==</vt:lpwstr>
  </property>
</Properties>
</file>